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695C" w:rsidRPr="007F695C" w:rsidRDefault="007F695C" w:rsidP="007F695C">
      <w:pPr>
        <w:pStyle w:val="Footer"/>
        <w:spacing w:line="480" w:lineRule="auto"/>
        <w:jc w:val="center"/>
        <w:rPr>
          <w:rFonts w:ascii="Times New Roman" w:hAnsi="Times New Roman" w:cs="Times New Roman"/>
          <w:b/>
          <w:sz w:val="24"/>
          <w:szCs w:val="24"/>
          <w:lang w:val="en-US"/>
        </w:rPr>
      </w:pPr>
      <w:bookmarkStart w:id="0" w:name="_GoBack"/>
      <w:bookmarkEnd w:id="0"/>
      <w:r w:rsidRPr="007F695C">
        <w:rPr>
          <w:rFonts w:ascii="Times New Roman" w:hAnsi="Times New Roman" w:cs="Times New Roman"/>
          <w:b/>
          <w:sz w:val="24"/>
          <w:szCs w:val="24"/>
          <w:lang w:val="en-US"/>
        </w:rPr>
        <w:t xml:space="preserve">PENGARUH </w:t>
      </w:r>
      <w:r w:rsidRPr="007F695C">
        <w:rPr>
          <w:rFonts w:ascii="Times New Roman" w:hAnsi="Times New Roman" w:cs="Times New Roman"/>
          <w:b/>
          <w:i/>
          <w:sz w:val="24"/>
          <w:szCs w:val="24"/>
        </w:rPr>
        <w:t>RETURN ON ASSETS</w:t>
      </w:r>
      <w:r w:rsidRPr="007F695C">
        <w:rPr>
          <w:rFonts w:ascii="Times New Roman" w:hAnsi="Times New Roman" w:cs="Times New Roman"/>
          <w:b/>
          <w:sz w:val="24"/>
          <w:szCs w:val="24"/>
        </w:rPr>
        <w:t xml:space="preserve"> DAN </w:t>
      </w:r>
      <w:r w:rsidRPr="007F695C">
        <w:rPr>
          <w:rFonts w:ascii="Times New Roman" w:hAnsi="Times New Roman" w:cs="Times New Roman"/>
          <w:b/>
          <w:i/>
          <w:sz w:val="24"/>
          <w:szCs w:val="24"/>
        </w:rPr>
        <w:t>FINANCING TO DEPOSIT RATIO</w:t>
      </w:r>
      <w:r w:rsidRPr="007F695C">
        <w:rPr>
          <w:rFonts w:ascii="Times New Roman" w:hAnsi="Times New Roman" w:cs="Times New Roman"/>
          <w:b/>
          <w:sz w:val="24"/>
          <w:szCs w:val="24"/>
        </w:rPr>
        <w:t xml:space="preserve"> TERHADAP TINGKAT BAGI HASIL DEPOSITO </w:t>
      </w:r>
      <w:r w:rsidRPr="007F695C">
        <w:rPr>
          <w:rFonts w:ascii="Times New Roman" w:hAnsi="Times New Roman" w:cs="Times New Roman"/>
          <w:b/>
          <w:i/>
          <w:sz w:val="24"/>
          <w:szCs w:val="24"/>
        </w:rPr>
        <w:t>MUDHARABAH</w:t>
      </w: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(Studi Pada PT. Bank Syariah Mandiri Periode 2010-2017)</w:t>
      </w:r>
    </w:p>
    <w:p w:rsidR="007F695C" w:rsidRDefault="007F695C" w:rsidP="007F695C">
      <w:pPr>
        <w:spacing w:after="0" w:line="240" w:lineRule="auto"/>
        <w:jc w:val="center"/>
        <w:rPr>
          <w:rFonts w:ascii="Times New Roman" w:hAnsi="Times New Roman"/>
          <w:b/>
          <w:sz w:val="24"/>
          <w:szCs w:val="24"/>
        </w:rPr>
      </w:pPr>
    </w:p>
    <w:p w:rsidR="007F695C" w:rsidRDefault="007F695C" w:rsidP="007F695C">
      <w:pPr>
        <w:spacing w:after="0" w:line="240" w:lineRule="auto"/>
        <w:jc w:val="center"/>
        <w:rPr>
          <w:rFonts w:ascii="Times New Roman" w:hAnsi="Times New Roman"/>
          <w:b/>
          <w:sz w:val="24"/>
          <w:szCs w:val="24"/>
          <w:lang w:val="en-US"/>
        </w:rPr>
      </w:pPr>
      <w:r>
        <w:rPr>
          <w:rFonts w:ascii="Times New Roman" w:hAnsi="Times New Roman"/>
          <w:b/>
          <w:sz w:val="24"/>
          <w:szCs w:val="24"/>
        </w:rPr>
        <w:t xml:space="preserve"> Oleh:</w:t>
      </w: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Eneng Aprilia Rahmanita</w:t>
      </w:r>
    </w:p>
    <w:p w:rsidR="007F695C" w:rsidRDefault="007F695C" w:rsidP="007F695C">
      <w:pPr>
        <w:spacing w:after="0" w:line="240" w:lineRule="auto"/>
        <w:jc w:val="center"/>
        <w:rPr>
          <w:rFonts w:ascii="Times New Roman" w:hAnsi="Times New Roman"/>
          <w:b/>
          <w:sz w:val="24"/>
          <w:szCs w:val="24"/>
          <w:lang w:val="en-US"/>
        </w:rPr>
      </w:pP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Dibawah Bimbingan:</w:t>
      </w: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Cecep Taufiqurrohman, SE, MM, Ak</w:t>
      </w:r>
    </w:p>
    <w:p w:rsidR="007F695C" w:rsidRDefault="007F695C" w:rsidP="007F695C">
      <w:pPr>
        <w:pStyle w:val="Heading1"/>
        <w:jc w:val="center"/>
        <w:rPr>
          <w:rFonts w:ascii="Times New Roman" w:hAnsi="Times New Roman" w:cs="Times New Roman"/>
          <w:color w:val="auto"/>
          <w:sz w:val="24"/>
          <w:szCs w:val="24"/>
        </w:rPr>
      </w:pPr>
      <w:bookmarkStart w:id="1" w:name="_Toc505582639"/>
      <w:r>
        <w:rPr>
          <w:rFonts w:ascii="Times New Roman" w:hAnsi="Times New Roman" w:cs="Times New Roman"/>
          <w:color w:val="auto"/>
          <w:sz w:val="24"/>
          <w:szCs w:val="24"/>
        </w:rPr>
        <w:t>ABSTRAK</w:t>
      </w:r>
      <w:bookmarkEnd w:id="1"/>
    </w:p>
    <w:p w:rsidR="007F695C" w:rsidRDefault="007F695C" w:rsidP="007F695C">
      <w:pPr>
        <w:rPr>
          <w:rFonts w:ascii="Times New Roman" w:hAnsi="Times New Roman" w:cs="Times New Roman"/>
          <w:sz w:val="24"/>
          <w:szCs w:val="24"/>
        </w:rPr>
      </w:pPr>
    </w:p>
    <w:p w:rsidR="007F695C" w:rsidRDefault="007F695C" w:rsidP="007F695C">
      <w:pPr>
        <w:spacing w:after="0" w:line="240" w:lineRule="auto"/>
        <w:jc w:val="both"/>
        <w:rPr>
          <w:rFonts w:ascii="Times New Roman" w:hAnsi="Times New Roman"/>
          <w:i/>
          <w:iCs/>
          <w:sz w:val="24"/>
          <w:szCs w:val="24"/>
        </w:rPr>
      </w:pPr>
      <w:r>
        <w:rPr>
          <w:rFonts w:ascii="Times New Roman" w:hAnsi="Times New Roman"/>
          <w:b/>
          <w:sz w:val="24"/>
          <w:szCs w:val="24"/>
        </w:rPr>
        <w:tab/>
      </w:r>
      <w:r>
        <w:rPr>
          <w:rFonts w:ascii="Times New Roman" w:hAnsi="Times New Roman"/>
          <w:sz w:val="24"/>
          <w:szCs w:val="24"/>
        </w:rPr>
        <w:t xml:space="preserve">Tujuan penelitian ini adalah untuk menguji pengaruh </w:t>
      </w:r>
      <w:r>
        <w:rPr>
          <w:rFonts w:ascii="Times New Roman" w:hAnsi="Times New Roman"/>
          <w:i/>
          <w:iCs/>
          <w:sz w:val="24"/>
          <w:szCs w:val="24"/>
        </w:rPr>
        <w:t xml:space="preserve">Return on Assets </w:t>
      </w:r>
      <w:r>
        <w:rPr>
          <w:rFonts w:ascii="Times New Roman" w:hAnsi="Times New Roman"/>
          <w:iCs/>
          <w:sz w:val="24"/>
          <w:szCs w:val="24"/>
        </w:rPr>
        <w:t xml:space="preserve">(ROA) dan </w:t>
      </w:r>
      <w:r>
        <w:rPr>
          <w:rFonts w:ascii="Times New Roman" w:hAnsi="Times New Roman"/>
          <w:i/>
          <w:iCs/>
          <w:sz w:val="24"/>
          <w:szCs w:val="24"/>
        </w:rPr>
        <w:t xml:space="preserve">Financing to Deposit Ratio </w:t>
      </w:r>
      <w:r>
        <w:rPr>
          <w:rFonts w:ascii="Times New Roman" w:hAnsi="Times New Roman"/>
          <w:iCs/>
          <w:sz w:val="24"/>
          <w:szCs w:val="24"/>
        </w:rPr>
        <w:t xml:space="preserve">(FDR) </w:t>
      </w:r>
      <w:r>
        <w:rPr>
          <w:rFonts w:ascii="Times New Roman" w:hAnsi="Times New Roman"/>
          <w:sz w:val="24"/>
          <w:szCs w:val="24"/>
        </w:rPr>
        <w:t xml:space="preserve">terhadap tingkat bagi hasil deposito </w:t>
      </w:r>
      <w:r>
        <w:rPr>
          <w:rFonts w:ascii="Times New Roman" w:hAnsi="Times New Roman"/>
          <w:i/>
          <w:sz w:val="24"/>
          <w:szCs w:val="24"/>
        </w:rPr>
        <w:t>mudharabah</w:t>
      </w:r>
      <w:r>
        <w:rPr>
          <w:rFonts w:ascii="Times New Roman" w:hAnsi="Times New Roman"/>
          <w:sz w:val="24"/>
          <w:szCs w:val="24"/>
        </w:rPr>
        <w:t>. Penelitian ini diambil karena masih terdapat perbedaan penelitian antarapenelitian yang satu dengan yang lain serta terdapat perbedaan antara keadaanriilnya dari data penelitian dengan teori yang ada.</w:t>
      </w:r>
    </w:p>
    <w:p w:rsidR="007F695C" w:rsidRDefault="007F695C" w:rsidP="007F695C">
      <w:pPr>
        <w:spacing w:after="0" w:line="240" w:lineRule="auto"/>
        <w:jc w:val="both"/>
        <w:rPr>
          <w:rFonts w:ascii="Times New Roman" w:hAnsi="Times New Roman"/>
          <w:sz w:val="24"/>
          <w:szCs w:val="24"/>
        </w:rPr>
      </w:pPr>
      <w:r>
        <w:rPr>
          <w:rFonts w:ascii="Times New Roman" w:hAnsi="Times New Roman"/>
          <w:sz w:val="24"/>
          <w:szCs w:val="24"/>
        </w:rPr>
        <w:tab/>
        <w:t xml:space="preserve">Metode yang digunakan dalam penelitian ini yaitu metode penelitian deskriptif dan verifikatif. Penelitian ini dilakukan dengan menggunakan data sekunder. Teknik sampel yang digunakan adalah </w:t>
      </w:r>
      <w:r>
        <w:rPr>
          <w:rFonts w:ascii="Times New Roman" w:hAnsi="Times New Roman"/>
          <w:i/>
          <w:sz w:val="24"/>
          <w:szCs w:val="24"/>
        </w:rPr>
        <w:t>non probability sampling</w:t>
      </w:r>
      <w:r>
        <w:rPr>
          <w:rFonts w:ascii="Times New Roman" w:hAnsi="Times New Roman"/>
          <w:i/>
          <w:iCs/>
          <w:sz w:val="24"/>
          <w:szCs w:val="24"/>
        </w:rPr>
        <w:t xml:space="preserve">. </w:t>
      </w:r>
      <w:r>
        <w:rPr>
          <w:rFonts w:ascii="Times New Roman" w:hAnsi="Times New Roman"/>
          <w:sz w:val="24"/>
          <w:szCs w:val="24"/>
        </w:rPr>
        <w:t>Semua anggota populasi digunakan sebagai sampel. Istilah lain sampel jenuh adalah sensus, dimana semua anggota populasi dijadikan sampel. Metode analisis yang digunakan adalah analisis regresi linier berganda.</w:t>
      </w:r>
    </w:p>
    <w:p w:rsidR="007F695C" w:rsidRDefault="007F695C" w:rsidP="007F695C">
      <w:pPr>
        <w:spacing w:after="0" w:line="240" w:lineRule="auto"/>
        <w:jc w:val="both"/>
        <w:rPr>
          <w:rFonts w:ascii="Times New Roman" w:hAnsi="Times New Roman"/>
          <w:sz w:val="24"/>
          <w:szCs w:val="24"/>
        </w:rPr>
      </w:pPr>
      <w:r>
        <w:rPr>
          <w:rFonts w:ascii="Times New Roman" w:hAnsi="Times New Roman"/>
          <w:sz w:val="24"/>
          <w:szCs w:val="24"/>
        </w:rPr>
        <w:tab/>
        <w:t xml:space="preserve">Hasil penelitian menunjukkan bahwa secara simultan </w:t>
      </w:r>
      <w:r>
        <w:rPr>
          <w:rFonts w:ascii="Times New Roman" w:hAnsi="Times New Roman"/>
          <w:i/>
          <w:iCs/>
          <w:sz w:val="24"/>
          <w:szCs w:val="24"/>
        </w:rPr>
        <w:t xml:space="preserve">Return on Assets </w:t>
      </w:r>
      <w:r>
        <w:rPr>
          <w:rFonts w:ascii="Times New Roman" w:hAnsi="Times New Roman"/>
          <w:iCs/>
          <w:sz w:val="24"/>
          <w:szCs w:val="24"/>
        </w:rPr>
        <w:t xml:space="preserve">(ROA) dan </w:t>
      </w:r>
      <w:r>
        <w:rPr>
          <w:rFonts w:ascii="Times New Roman" w:hAnsi="Times New Roman"/>
          <w:i/>
          <w:iCs/>
          <w:sz w:val="24"/>
          <w:szCs w:val="24"/>
        </w:rPr>
        <w:t xml:space="preserve">Financing to Deposit Ratio </w:t>
      </w:r>
      <w:r>
        <w:rPr>
          <w:rFonts w:ascii="Times New Roman" w:hAnsi="Times New Roman"/>
          <w:iCs/>
          <w:sz w:val="24"/>
          <w:szCs w:val="24"/>
        </w:rPr>
        <w:t>(FDR)</w:t>
      </w:r>
      <w:r>
        <w:rPr>
          <w:rFonts w:ascii="Times New Roman" w:hAnsi="Times New Roman"/>
          <w:sz w:val="24"/>
          <w:szCs w:val="24"/>
        </w:rPr>
        <w:t xml:space="preserve"> berpengaruh dan signifikan terhadap tingkat bagi hasil deposito </w:t>
      </w:r>
      <w:r>
        <w:rPr>
          <w:rFonts w:ascii="Times New Roman" w:hAnsi="Times New Roman"/>
          <w:i/>
          <w:sz w:val="24"/>
          <w:szCs w:val="24"/>
        </w:rPr>
        <w:t>mudharabah</w:t>
      </w:r>
      <w:r>
        <w:rPr>
          <w:rFonts w:ascii="Times New Roman" w:hAnsi="Times New Roman"/>
          <w:sz w:val="24"/>
          <w:szCs w:val="24"/>
        </w:rPr>
        <w:t xml:space="preserve"> pada α = 0,000. Secara parsial variabel </w:t>
      </w:r>
      <w:r>
        <w:rPr>
          <w:rFonts w:ascii="Times New Roman" w:hAnsi="Times New Roman"/>
          <w:i/>
          <w:iCs/>
          <w:sz w:val="24"/>
          <w:szCs w:val="24"/>
        </w:rPr>
        <w:t xml:space="preserve">Return on Assets </w:t>
      </w:r>
      <w:r>
        <w:rPr>
          <w:rFonts w:ascii="Times New Roman" w:hAnsi="Times New Roman"/>
          <w:iCs/>
          <w:sz w:val="24"/>
          <w:szCs w:val="24"/>
        </w:rPr>
        <w:t>(ROA)</w:t>
      </w:r>
      <w:r>
        <w:rPr>
          <w:rFonts w:ascii="Times New Roman" w:hAnsi="Times New Roman"/>
          <w:sz w:val="24"/>
          <w:szCs w:val="24"/>
        </w:rPr>
        <w:t xml:space="preserve"> berpengaruh positif dan signifikan terhadap tingkat bagi hasil deposito </w:t>
      </w:r>
      <w:r>
        <w:rPr>
          <w:rFonts w:ascii="Times New Roman" w:hAnsi="Times New Roman"/>
          <w:i/>
          <w:sz w:val="24"/>
          <w:szCs w:val="24"/>
        </w:rPr>
        <w:t>mudharabah</w:t>
      </w:r>
      <w:r>
        <w:rPr>
          <w:rFonts w:ascii="Times New Roman" w:hAnsi="Times New Roman"/>
          <w:sz w:val="24"/>
          <w:szCs w:val="24"/>
        </w:rPr>
        <w:t xml:space="preserve"> pada α = 0,000. </w:t>
      </w:r>
      <w:r>
        <w:rPr>
          <w:rFonts w:ascii="Times New Roman" w:hAnsi="Times New Roman"/>
          <w:i/>
          <w:iCs/>
          <w:sz w:val="24"/>
          <w:szCs w:val="24"/>
        </w:rPr>
        <w:t xml:space="preserve">Financing to Deposit Ratio </w:t>
      </w:r>
      <w:r>
        <w:rPr>
          <w:rFonts w:ascii="Times New Roman" w:hAnsi="Times New Roman"/>
          <w:iCs/>
          <w:sz w:val="24"/>
          <w:szCs w:val="24"/>
        </w:rPr>
        <w:t>(FDR)</w:t>
      </w:r>
      <w:r>
        <w:rPr>
          <w:rFonts w:ascii="Times New Roman" w:hAnsi="Times New Roman"/>
          <w:sz w:val="24"/>
          <w:szCs w:val="24"/>
        </w:rPr>
        <w:t xml:space="preserve"> berpengaruh negatif dan signifikan terhadap tingkat bagi hasil deposito </w:t>
      </w:r>
      <w:r>
        <w:rPr>
          <w:rFonts w:ascii="Times New Roman" w:hAnsi="Times New Roman"/>
          <w:i/>
          <w:sz w:val="24"/>
          <w:szCs w:val="24"/>
        </w:rPr>
        <w:t>mudharabah</w:t>
      </w:r>
      <w:r>
        <w:rPr>
          <w:rFonts w:ascii="Times New Roman" w:hAnsi="Times New Roman"/>
          <w:sz w:val="24"/>
          <w:szCs w:val="24"/>
        </w:rPr>
        <w:t xml:space="preserve"> pada α = 0,000. Nilai koefisien determinasi (R</w:t>
      </w:r>
      <w:r>
        <w:rPr>
          <w:rFonts w:ascii="Times New Roman" w:hAnsi="Times New Roman"/>
          <w:sz w:val="24"/>
          <w:szCs w:val="24"/>
          <w:vertAlign w:val="superscript"/>
        </w:rPr>
        <w:t>2</w:t>
      </w:r>
      <w:r>
        <w:rPr>
          <w:rFonts w:ascii="Times New Roman" w:hAnsi="Times New Roman"/>
          <w:sz w:val="24"/>
          <w:szCs w:val="24"/>
        </w:rPr>
        <w:t>) dalam penelitian ini sebesar 0,713 yang artinya kemampuan variabel bebas dalam menjelaskan variasi variabel terikat sebesar 71,3% sedangkan sisanya sebesar 28,7% dijelaskan oleh variabel bebas lain diluar model.</w:t>
      </w:r>
    </w:p>
    <w:p w:rsidR="007F695C" w:rsidRDefault="007F695C" w:rsidP="007F695C">
      <w:pPr>
        <w:spacing w:after="0" w:line="240" w:lineRule="auto"/>
        <w:jc w:val="both"/>
        <w:rPr>
          <w:rFonts w:ascii="Times New Roman" w:hAnsi="Times New Roman"/>
          <w:sz w:val="24"/>
          <w:szCs w:val="24"/>
        </w:rPr>
      </w:pPr>
    </w:p>
    <w:p w:rsidR="007F695C" w:rsidRDefault="007F695C" w:rsidP="007F695C">
      <w:pPr>
        <w:spacing w:after="0" w:line="240" w:lineRule="auto"/>
        <w:jc w:val="both"/>
        <w:rPr>
          <w:rFonts w:ascii="Times New Roman" w:hAnsi="Times New Roman"/>
          <w:b/>
          <w:sz w:val="24"/>
          <w:szCs w:val="24"/>
        </w:rPr>
      </w:pPr>
      <w:r>
        <w:rPr>
          <w:rFonts w:ascii="Times New Roman" w:hAnsi="Times New Roman"/>
          <w:b/>
          <w:sz w:val="24"/>
          <w:szCs w:val="24"/>
        </w:rPr>
        <w:t xml:space="preserve">Kata kunci: </w:t>
      </w:r>
      <w:r>
        <w:rPr>
          <w:rFonts w:ascii="Times New Roman" w:hAnsi="Times New Roman"/>
          <w:i/>
          <w:iCs/>
          <w:sz w:val="24"/>
          <w:szCs w:val="24"/>
        </w:rPr>
        <w:t xml:space="preserve">Return on Assets </w:t>
      </w:r>
      <w:r>
        <w:rPr>
          <w:rFonts w:ascii="Times New Roman" w:hAnsi="Times New Roman"/>
          <w:iCs/>
          <w:sz w:val="24"/>
          <w:szCs w:val="24"/>
        </w:rPr>
        <w:t xml:space="preserve">(ROA) dan </w:t>
      </w:r>
      <w:r>
        <w:rPr>
          <w:rFonts w:ascii="Times New Roman" w:hAnsi="Times New Roman"/>
          <w:i/>
          <w:iCs/>
          <w:sz w:val="24"/>
          <w:szCs w:val="24"/>
        </w:rPr>
        <w:t xml:space="preserve">Financing to Deposit Ratio </w:t>
      </w:r>
      <w:r>
        <w:rPr>
          <w:rFonts w:ascii="Times New Roman" w:hAnsi="Times New Roman"/>
          <w:iCs/>
          <w:sz w:val="24"/>
          <w:szCs w:val="24"/>
        </w:rPr>
        <w:t xml:space="preserve">(FDR) </w:t>
      </w:r>
      <w:r>
        <w:rPr>
          <w:rFonts w:ascii="Times New Roman" w:hAnsi="Times New Roman"/>
          <w:sz w:val="24"/>
          <w:szCs w:val="24"/>
        </w:rPr>
        <w:t xml:space="preserve">tingkat bagi hasil deposito </w:t>
      </w:r>
      <w:r>
        <w:rPr>
          <w:rFonts w:ascii="Times New Roman" w:hAnsi="Times New Roman"/>
          <w:i/>
          <w:sz w:val="24"/>
          <w:szCs w:val="24"/>
        </w:rPr>
        <w:t>mudharabah</w:t>
      </w: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rPr>
          <w:rFonts w:ascii="Times New Roman" w:hAnsi="Times New Roman"/>
          <w:b/>
          <w:sz w:val="24"/>
          <w:szCs w:val="24"/>
        </w:rPr>
      </w:pPr>
    </w:p>
    <w:p w:rsidR="007F695C" w:rsidRDefault="007F695C" w:rsidP="007F695C">
      <w:pPr>
        <w:spacing w:after="0" w:line="240" w:lineRule="auto"/>
        <w:jc w:val="center"/>
        <w:rPr>
          <w:rFonts w:ascii="Times New Roman" w:hAnsi="Times New Roman"/>
          <w:b/>
          <w:bCs/>
          <w:i/>
          <w:iCs/>
          <w:sz w:val="24"/>
          <w:szCs w:val="24"/>
        </w:rPr>
      </w:pPr>
      <w:r>
        <w:rPr>
          <w:rFonts w:ascii="Times New Roman" w:hAnsi="Times New Roman"/>
          <w:b/>
          <w:bCs/>
          <w:i/>
          <w:iCs/>
          <w:sz w:val="24"/>
          <w:szCs w:val="24"/>
        </w:rPr>
        <w:lastRenderedPageBreak/>
        <w:t>THE EFFECT OF RETURN ON ASSETS AND FINANCING TO DEPOSIT RATIO ON LEVEL OF PROFIT SHARING MUDARABA DEPOSITS</w:t>
      </w:r>
    </w:p>
    <w:p w:rsidR="007F695C" w:rsidRDefault="007F695C" w:rsidP="007F695C">
      <w:pPr>
        <w:spacing w:after="0" w:line="240" w:lineRule="auto"/>
        <w:jc w:val="center"/>
        <w:rPr>
          <w:rFonts w:ascii="Times New Roman" w:hAnsi="Times New Roman"/>
          <w:b/>
          <w:bCs/>
          <w:i/>
          <w:iCs/>
          <w:sz w:val="24"/>
          <w:szCs w:val="24"/>
        </w:rPr>
      </w:pPr>
    </w:p>
    <w:p w:rsidR="007F695C" w:rsidRDefault="007F695C" w:rsidP="007F695C">
      <w:pPr>
        <w:spacing w:after="0" w:line="240" w:lineRule="auto"/>
        <w:jc w:val="center"/>
        <w:rPr>
          <w:rFonts w:ascii="Times New Roman" w:hAnsi="Times New Roman"/>
          <w:b/>
          <w:sz w:val="24"/>
          <w:szCs w:val="24"/>
        </w:rPr>
      </w:pPr>
      <w:r>
        <w:rPr>
          <w:rFonts w:ascii="Times New Roman" w:hAnsi="Times New Roman"/>
          <w:b/>
          <w:i/>
          <w:sz w:val="24"/>
          <w:szCs w:val="24"/>
        </w:rPr>
        <w:t xml:space="preserve">(Study on </w:t>
      </w:r>
      <w:r>
        <w:rPr>
          <w:rFonts w:ascii="Times New Roman" w:hAnsi="Times New Roman"/>
          <w:b/>
          <w:sz w:val="24"/>
          <w:szCs w:val="24"/>
        </w:rPr>
        <w:t xml:space="preserve">PT. Bank Syariah Mandiri </w:t>
      </w:r>
      <w:r>
        <w:rPr>
          <w:rFonts w:ascii="Times New Roman" w:hAnsi="Times New Roman"/>
          <w:b/>
          <w:i/>
          <w:sz w:val="24"/>
          <w:szCs w:val="24"/>
        </w:rPr>
        <w:t xml:space="preserve">Period </w:t>
      </w:r>
      <w:r>
        <w:rPr>
          <w:rFonts w:ascii="Times New Roman" w:hAnsi="Times New Roman"/>
          <w:b/>
          <w:sz w:val="24"/>
          <w:szCs w:val="24"/>
        </w:rPr>
        <w:t>2010-2017)</w:t>
      </w:r>
    </w:p>
    <w:p w:rsidR="007F695C" w:rsidRDefault="007F695C" w:rsidP="007F695C">
      <w:pPr>
        <w:spacing w:after="0" w:line="240" w:lineRule="auto"/>
        <w:rPr>
          <w:rFonts w:ascii="Times New Roman" w:hAnsi="Times New Roman"/>
          <w:b/>
          <w:sz w:val="24"/>
          <w:szCs w:val="24"/>
          <w:lang w:val="en-US"/>
        </w:rPr>
      </w:pPr>
    </w:p>
    <w:p w:rsidR="007F695C" w:rsidRDefault="007F695C" w:rsidP="007F695C">
      <w:pPr>
        <w:spacing w:after="0" w:line="240" w:lineRule="auto"/>
        <w:jc w:val="center"/>
        <w:rPr>
          <w:rFonts w:ascii="Times New Roman" w:hAnsi="Times New Roman"/>
          <w:b/>
          <w:sz w:val="24"/>
          <w:szCs w:val="24"/>
        </w:rPr>
      </w:pPr>
      <w:r>
        <w:rPr>
          <w:rFonts w:ascii="Times New Roman" w:hAnsi="Times New Roman"/>
          <w:b/>
          <w:i/>
          <w:sz w:val="24"/>
          <w:szCs w:val="24"/>
        </w:rPr>
        <w:t xml:space="preserve"> Written by</w:t>
      </w:r>
      <w:r>
        <w:rPr>
          <w:rFonts w:ascii="Times New Roman" w:hAnsi="Times New Roman"/>
          <w:b/>
          <w:sz w:val="24"/>
          <w:szCs w:val="24"/>
        </w:rPr>
        <w:t>:</w:t>
      </w: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Eneng Aprilia Rahmanita</w:t>
      </w: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C10140277</w:t>
      </w:r>
    </w:p>
    <w:p w:rsidR="007F695C" w:rsidRDefault="007F695C" w:rsidP="007F695C">
      <w:pPr>
        <w:spacing w:after="0" w:line="240" w:lineRule="auto"/>
        <w:jc w:val="center"/>
        <w:rPr>
          <w:rFonts w:ascii="Times New Roman" w:hAnsi="Times New Roman"/>
          <w:b/>
          <w:sz w:val="24"/>
          <w:szCs w:val="24"/>
          <w:lang w:val="en-US"/>
        </w:rPr>
      </w:pPr>
    </w:p>
    <w:p w:rsidR="007F695C" w:rsidRDefault="007F695C" w:rsidP="007F695C">
      <w:pPr>
        <w:spacing w:after="0" w:line="240" w:lineRule="auto"/>
        <w:jc w:val="center"/>
        <w:rPr>
          <w:rFonts w:ascii="Times New Roman" w:hAnsi="Times New Roman"/>
          <w:b/>
          <w:sz w:val="24"/>
          <w:szCs w:val="24"/>
        </w:rPr>
      </w:pPr>
      <w:r>
        <w:rPr>
          <w:rFonts w:ascii="Times New Roman" w:hAnsi="Times New Roman"/>
          <w:b/>
          <w:i/>
          <w:sz w:val="24"/>
          <w:szCs w:val="24"/>
        </w:rPr>
        <w:t>Preceptor</w:t>
      </w:r>
      <w:r>
        <w:rPr>
          <w:rFonts w:ascii="Times New Roman" w:hAnsi="Times New Roman"/>
          <w:b/>
          <w:sz w:val="24"/>
          <w:szCs w:val="24"/>
        </w:rPr>
        <w:t>:</w:t>
      </w:r>
    </w:p>
    <w:p w:rsidR="007F695C" w:rsidRDefault="007F695C" w:rsidP="007F695C">
      <w:pPr>
        <w:spacing w:after="0" w:line="240" w:lineRule="auto"/>
        <w:jc w:val="center"/>
        <w:rPr>
          <w:rFonts w:ascii="Times New Roman" w:hAnsi="Times New Roman"/>
          <w:b/>
          <w:sz w:val="24"/>
          <w:szCs w:val="24"/>
        </w:rPr>
      </w:pPr>
      <w:r>
        <w:rPr>
          <w:rFonts w:ascii="Times New Roman" w:hAnsi="Times New Roman"/>
          <w:b/>
          <w:sz w:val="24"/>
          <w:szCs w:val="24"/>
        </w:rPr>
        <w:t>Cecep Taufiqurrohman, SE, MM, Ak</w:t>
      </w:r>
    </w:p>
    <w:p w:rsidR="007F695C" w:rsidRDefault="007F695C" w:rsidP="007F695C">
      <w:pPr>
        <w:spacing w:after="0" w:line="240" w:lineRule="auto"/>
        <w:jc w:val="center"/>
        <w:rPr>
          <w:rFonts w:ascii="Times New Roman" w:hAnsi="Times New Roman"/>
          <w:sz w:val="24"/>
          <w:szCs w:val="24"/>
        </w:rPr>
      </w:pPr>
    </w:p>
    <w:p w:rsidR="007F695C" w:rsidRDefault="007F695C" w:rsidP="007F695C">
      <w:pPr>
        <w:spacing w:after="0" w:line="240" w:lineRule="auto"/>
        <w:jc w:val="center"/>
        <w:rPr>
          <w:rFonts w:ascii="Times New Roman" w:hAnsi="Times New Roman"/>
          <w:sz w:val="24"/>
          <w:szCs w:val="24"/>
        </w:rPr>
      </w:pPr>
    </w:p>
    <w:p w:rsidR="007F695C" w:rsidRDefault="007F695C" w:rsidP="007F695C">
      <w:pPr>
        <w:pStyle w:val="Heading1"/>
        <w:spacing w:before="0" w:line="480" w:lineRule="auto"/>
        <w:jc w:val="center"/>
        <w:rPr>
          <w:rFonts w:ascii="Times New Roman" w:hAnsi="Times New Roman" w:cs="Times New Roman"/>
          <w:i/>
          <w:color w:val="auto"/>
          <w:sz w:val="24"/>
          <w:szCs w:val="24"/>
        </w:rPr>
      </w:pPr>
      <w:bookmarkStart w:id="2" w:name="_Toc505582640"/>
      <w:r>
        <w:rPr>
          <w:rFonts w:ascii="Times New Roman" w:hAnsi="Times New Roman" w:cs="Times New Roman"/>
          <w:i/>
          <w:color w:val="auto"/>
          <w:sz w:val="24"/>
          <w:szCs w:val="24"/>
        </w:rPr>
        <w:t>ABSTRACT</w:t>
      </w:r>
      <w:bookmarkEnd w:id="2"/>
    </w:p>
    <w:p w:rsidR="007F695C" w:rsidRDefault="007F695C" w:rsidP="007F695C">
      <w:pPr>
        <w:spacing w:after="0" w:line="240" w:lineRule="auto"/>
        <w:jc w:val="center"/>
        <w:rPr>
          <w:rFonts w:ascii="Times New Roman" w:hAnsi="Times New Roman" w:cs="Times New Roman"/>
          <w:b/>
          <w:bCs/>
          <w:i/>
          <w:iCs/>
          <w:sz w:val="24"/>
          <w:szCs w:val="24"/>
        </w:rPr>
      </w:pPr>
    </w:p>
    <w:p w:rsidR="007F695C" w:rsidRDefault="007F695C" w:rsidP="007F695C">
      <w:pPr>
        <w:spacing w:after="0" w:line="240" w:lineRule="auto"/>
        <w:ind w:firstLine="720"/>
        <w:jc w:val="both"/>
        <w:rPr>
          <w:rFonts w:ascii="Times New Roman" w:hAnsi="Times New Roman"/>
          <w:i/>
          <w:iCs/>
          <w:sz w:val="24"/>
          <w:szCs w:val="24"/>
        </w:rPr>
      </w:pPr>
      <w:r>
        <w:rPr>
          <w:rFonts w:ascii="Times New Roman" w:hAnsi="Times New Roman"/>
          <w:i/>
          <w:iCs/>
          <w:sz w:val="24"/>
          <w:szCs w:val="24"/>
        </w:rPr>
        <w:t xml:space="preserve">The aims of this study are to analyze the effect of Return on Assets </w:t>
      </w:r>
      <w:r>
        <w:rPr>
          <w:rFonts w:ascii="Times New Roman" w:hAnsi="Times New Roman"/>
          <w:iCs/>
          <w:sz w:val="24"/>
          <w:szCs w:val="24"/>
        </w:rPr>
        <w:t xml:space="preserve">(ROA) </w:t>
      </w:r>
      <w:r>
        <w:rPr>
          <w:rFonts w:ascii="Times New Roman" w:hAnsi="Times New Roman"/>
          <w:i/>
          <w:iCs/>
          <w:sz w:val="24"/>
          <w:szCs w:val="24"/>
        </w:rPr>
        <w:t xml:space="preserve">andFinancing to Deposit Ratio </w:t>
      </w:r>
      <w:r>
        <w:rPr>
          <w:rFonts w:ascii="Times New Roman" w:hAnsi="Times New Roman"/>
          <w:iCs/>
          <w:sz w:val="24"/>
          <w:szCs w:val="24"/>
        </w:rPr>
        <w:t>(FDR)</w:t>
      </w:r>
      <w:r>
        <w:rPr>
          <w:rFonts w:ascii="Times New Roman" w:hAnsi="Times New Roman"/>
          <w:i/>
          <w:iCs/>
          <w:sz w:val="24"/>
          <w:szCs w:val="24"/>
        </w:rPr>
        <w:t xml:space="preserve"> on on level of profit sharing mudaraba deposits. This study was taken because there are still differences between the research study with each other and there is a difference between the real state of research study with each other and there is a difference between the real of research data with existing theory.</w:t>
      </w:r>
    </w:p>
    <w:p w:rsidR="007F695C" w:rsidRDefault="007F695C" w:rsidP="007F695C">
      <w:pPr>
        <w:pStyle w:val="Default"/>
        <w:jc w:val="both"/>
        <w:rPr>
          <w:rFonts w:ascii="Times New Roman" w:hAnsi="Times New Roman" w:cs="Times New Roman"/>
        </w:rPr>
      </w:pPr>
      <w:r>
        <w:rPr>
          <w:rFonts w:ascii="Times New Roman" w:hAnsi="Times New Roman" w:cs="Times New Roman"/>
          <w:b/>
        </w:rPr>
        <w:tab/>
      </w:r>
      <w:r>
        <w:rPr>
          <w:rFonts w:ascii="Times New Roman" w:hAnsi="Times New Roman" w:cs="Times New Roman"/>
          <w:i/>
          <w:iCs/>
        </w:rPr>
        <w:t xml:space="preserve">The method used in this research is descriptive and verification methods. This research was conducted using secondary data. Sampling technique used was </w:t>
      </w:r>
      <w:r>
        <w:rPr>
          <w:rFonts w:ascii="Times New Roman" w:hAnsi="Times New Roman"/>
          <w:i/>
        </w:rPr>
        <w:t>non probability sampling</w:t>
      </w:r>
      <w:r>
        <w:rPr>
          <w:rFonts w:ascii="Times New Roman" w:hAnsi="Times New Roman" w:cs="Times New Roman"/>
          <w:i/>
          <w:iCs/>
        </w:rPr>
        <w:t>. All member populatons are used as samples. Another term saturated sample is the cencus, where all members of the population are samoled. The analysis method used is multiple linear regression analysis.</w:t>
      </w:r>
    </w:p>
    <w:p w:rsidR="007F695C" w:rsidRDefault="007F695C" w:rsidP="007F695C">
      <w:pPr>
        <w:spacing w:after="0" w:line="240" w:lineRule="auto"/>
        <w:jc w:val="both"/>
        <w:rPr>
          <w:rFonts w:ascii="Times New Roman" w:hAnsi="Times New Roman" w:cs="Times New Roman"/>
          <w:b/>
          <w:sz w:val="24"/>
          <w:szCs w:val="24"/>
        </w:rPr>
      </w:pPr>
      <w:r>
        <w:rPr>
          <w:rFonts w:ascii="Times New Roman" w:hAnsi="Times New Roman"/>
          <w:b/>
          <w:sz w:val="24"/>
          <w:szCs w:val="24"/>
        </w:rPr>
        <w:tab/>
      </w:r>
      <w:r>
        <w:rPr>
          <w:rFonts w:ascii="Times New Roman" w:hAnsi="Times New Roman"/>
          <w:i/>
          <w:iCs/>
          <w:sz w:val="24"/>
          <w:szCs w:val="24"/>
        </w:rPr>
        <w:t>The results of the study revealed that</w:t>
      </w:r>
      <w:r>
        <w:rPr>
          <w:rFonts w:ascii="Times New Roman" w:hAnsi="Times New Roman"/>
          <w:sz w:val="24"/>
          <w:szCs w:val="24"/>
        </w:rPr>
        <w:t>s</w:t>
      </w:r>
      <w:r>
        <w:rPr>
          <w:rFonts w:ascii="Times New Roman" w:hAnsi="Times New Roman"/>
          <w:i/>
          <w:iCs/>
          <w:sz w:val="24"/>
          <w:szCs w:val="24"/>
        </w:rPr>
        <w:t xml:space="preserve">imultaneouslythere was an effect and insignificant of Return on Assets </w:t>
      </w:r>
      <w:r>
        <w:rPr>
          <w:rFonts w:ascii="Times New Roman" w:hAnsi="Times New Roman"/>
          <w:iCs/>
          <w:sz w:val="24"/>
          <w:szCs w:val="24"/>
        </w:rPr>
        <w:t xml:space="preserve">(ROA) </w:t>
      </w:r>
      <w:r>
        <w:rPr>
          <w:rFonts w:ascii="Times New Roman" w:hAnsi="Times New Roman"/>
          <w:i/>
          <w:iCs/>
          <w:sz w:val="24"/>
          <w:szCs w:val="24"/>
        </w:rPr>
        <w:t xml:space="preserve">andFinancing to Deposit Ratio </w:t>
      </w:r>
      <w:r>
        <w:rPr>
          <w:rFonts w:ascii="Times New Roman" w:hAnsi="Times New Roman"/>
          <w:iCs/>
          <w:sz w:val="24"/>
          <w:szCs w:val="24"/>
        </w:rPr>
        <w:t>(FDR)</w:t>
      </w:r>
      <w:r>
        <w:rPr>
          <w:rFonts w:ascii="Times New Roman" w:hAnsi="Times New Roman"/>
          <w:i/>
          <w:iCs/>
          <w:sz w:val="24"/>
          <w:szCs w:val="24"/>
        </w:rPr>
        <w:t xml:space="preserve"> on level of profit sharing mudaraba deposits at α = 0.000.Partially Return on Assets </w:t>
      </w:r>
      <w:r>
        <w:rPr>
          <w:rFonts w:ascii="Times New Roman" w:hAnsi="Times New Roman"/>
          <w:iCs/>
          <w:sz w:val="24"/>
          <w:szCs w:val="24"/>
        </w:rPr>
        <w:t>(ROA)</w:t>
      </w:r>
      <w:r>
        <w:rPr>
          <w:rFonts w:ascii="Times New Roman" w:hAnsi="Times New Roman"/>
          <w:i/>
          <w:iCs/>
          <w:sz w:val="24"/>
          <w:szCs w:val="24"/>
        </w:rPr>
        <w:t xml:space="preserve"> had a positive and insignificant effect on level of profit sharing mudaraba deposits at </w:t>
      </w:r>
      <w:r>
        <w:rPr>
          <w:rFonts w:ascii="Times New Roman" w:hAnsi="Times New Roman"/>
          <w:sz w:val="24"/>
          <w:szCs w:val="24"/>
        </w:rPr>
        <w:t>α = 0,000.</w:t>
      </w:r>
      <w:r>
        <w:rPr>
          <w:rFonts w:ascii="Times New Roman" w:hAnsi="Times New Roman"/>
          <w:i/>
          <w:iCs/>
          <w:sz w:val="24"/>
          <w:szCs w:val="24"/>
        </w:rPr>
        <w:t xml:space="preserve">Financing to Deposit Ratio </w:t>
      </w:r>
      <w:r>
        <w:rPr>
          <w:rFonts w:ascii="Times New Roman" w:hAnsi="Times New Roman"/>
          <w:iCs/>
          <w:sz w:val="24"/>
          <w:szCs w:val="24"/>
        </w:rPr>
        <w:t>(FDR)</w:t>
      </w:r>
      <w:r>
        <w:rPr>
          <w:rFonts w:ascii="Times New Roman" w:hAnsi="Times New Roman"/>
          <w:i/>
          <w:iCs/>
          <w:sz w:val="24"/>
          <w:szCs w:val="24"/>
        </w:rPr>
        <w:t xml:space="preserve"> had a negatif and significant effect on level of profit sharing mudaraba deposits at α = 0.000.The determination coefficient (R2) in this study was </w:t>
      </w:r>
      <w:r>
        <w:rPr>
          <w:rFonts w:ascii="Times New Roman" w:hAnsi="Times New Roman"/>
          <w:sz w:val="24"/>
          <w:szCs w:val="24"/>
        </w:rPr>
        <w:t xml:space="preserve">0,713 </w:t>
      </w:r>
      <w:r>
        <w:rPr>
          <w:rFonts w:ascii="Times New Roman" w:hAnsi="Times New Roman"/>
          <w:i/>
          <w:iCs/>
          <w:sz w:val="24"/>
          <w:szCs w:val="24"/>
        </w:rPr>
        <w:t xml:space="preserve">which imply that the ability of independent variables in explaining the variation of the dependent variable was </w:t>
      </w:r>
      <w:r>
        <w:rPr>
          <w:rFonts w:ascii="Times New Roman" w:hAnsi="Times New Roman"/>
          <w:sz w:val="24"/>
          <w:szCs w:val="24"/>
        </w:rPr>
        <w:t>71,3%</w:t>
      </w:r>
      <w:r>
        <w:rPr>
          <w:rFonts w:ascii="Times New Roman" w:hAnsi="Times New Roman"/>
          <w:i/>
          <w:iCs/>
          <w:sz w:val="24"/>
          <w:szCs w:val="24"/>
        </w:rPr>
        <w:t xml:space="preserve"> while the remaining </w:t>
      </w:r>
      <w:r>
        <w:rPr>
          <w:rFonts w:ascii="Times New Roman" w:hAnsi="Times New Roman"/>
          <w:sz w:val="24"/>
          <w:szCs w:val="24"/>
        </w:rPr>
        <w:t xml:space="preserve">28,7% </w:t>
      </w:r>
      <w:r>
        <w:rPr>
          <w:rFonts w:ascii="Times New Roman" w:hAnsi="Times New Roman"/>
          <w:i/>
          <w:iCs/>
          <w:sz w:val="24"/>
          <w:szCs w:val="24"/>
        </w:rPr>
        <w:t>was explained by other independent variables outside the model.</w:t>
      </w:r>
    </w:p>
    <w:p w:rsidR="007F695C" w:rsidRDefault="007F695C" w:rsidP="007F695C">
      <w:pPr>
        <w:spacing w:after="0" w:line="240" w:lineRule="auto"/>
        <w:jc w:val="both"/>
        <w:rPr>
          <w:rFonts w:ascii="Times New Roman" w:hAnsi="Times New Roman"/>
          <w:b/>
          <w:sz w:val="24"/>
          <w:szCs w:val="24"/>
        </w:rPr>
      </w:pPr>
    </w:p>
    <w:p w:rsidR="007F695C" w:rsidRDefault="007F695C" w:rsidP="007F695C">
      <w:pPr>
        <w:jc w:val="both"/>
        <w:rPr>
          <w:rFonts w:ascii="Times New Roman" w:hAnsi="Times New Roman"/>
          <w:b/>
          <w:sz w:val="24"/>
          <w:szCs w:val="24"/>
        </w:rPr>
      </w:pPr>
      <w:r>
        <w:rPr>
          <w:rFonts w:ascii="Times New Roman" w:hAnsi="Times New Roman"/>
          <w:b/>
          <w:i/>
          <w:sz w:val="24"/>
          <w:szCs w:val="24"/>
        </w:rPr>
        <w:t xml:space="preserve">Keywords: </w:t>
      </w:r>
      <w:r>
        <w:rPr>
          <w:rFonts w:ascii="Times New Roman" w:hAnsi="Times New Roman"/>
          <w:i/>
          <w:iCs/>
          <w:sz w:val="24"/>
          <w:szCs w:val="24"/>
        </w:rPr>
        <w:t xml:space="preserve">Return on Assets </w:t>
      </w:r>
      <w:r>
        <w:rPr>
          <w:rFonts w:ascii="Times New Roman" w:hAnsi="Times New Roman"/>
          <w:iCs/>
          <w:sz w:val="24"/>
          <w:szCs w:val="24"/>
        </w:rPr>
        <w:t xml:space="preserve">(ROA), </w:t>
      </w:r>
      <w:r>
        <w:rPr>
          <w:rFonts w:ascii="Times New Roman" w:hAnsi="Times New Roman"/>
          <w:i/>
          <w:iCs/>
          <w:sz w:val="24"/>
          <w:szCs w:val="24"/>
        </w:rPr>
        <w:t xml:space="preserve">Financing to Deposit Ratio </w:t>
      </w:r>
      <w:r>
        <w:rPr>
          <w:rFonts w:ascii="Times New Roman" w:hAnsi="Times New Roman"/>
          <w:iCs/>
          <w:sz w:val="24"/>
          <w:szCs w:val="24"/>
        </w:rPr>
        <w:t xml:space="preserve">(FDR), </w:t>
      </w:r>
      <w:r>
        <w:rPr>
          <w:rFonts w:ascii="Times New Roman" w:hAnsi="Times New Roman"/>
          <w:i/>
          <w:iCs/>
          <w:sz w:val="24"/>
          <w:szCs w:val="24"/>
        </w:rPr>
        <w:t>level of profit sharing mudaraba deposits</w:t>
      </w:r>
    </w:p>
    <w:p w:rsidR="004B6EF2" w:rsidRPr="0021404C" w:rsidRDefault="004B6EF2" w:rsidP="00DE7E9B">
      <w:pPr>
        <w:jc w:val="both"/>
        <w:rPr>
          <w:rFonts w:ascii="Times New Roman" w:hAnsi="Times New Roman" w:cs="Times New Roman"/>
          <w:b/>
          <w:sz w:val="24"/>
          <w:szCs w:val="24"/>
        </w:rPr>
      </w:pPr>
    </w:p>
    <w:p w:rsidR="00CD1702" w:rsidRPr="004C2267" w:rsidRDefault="00CD1702" w:rsidP="004C2267">
      <w:pPr>
        <w:jc w:val="both"/>
        <w:rPr>
          <w:rFonts w:ascii="Times New Roman" w:hAnsi="Times New Roman" w:cs="Times New Roman"/>
          <w:b/>
          <w:sz w:val="24"/>
          <w:szCs w:val="24"/>
        </w:rPr>
      </w:pPr>
    </w:p>
    <w:sectPr w:rsidR="00CD1702" w:rsidRPr="004C2267" w:rsidSect="00CD505C">
      <w:headerReference w:type="even" r:id="rId7"/>
      <w:headerReference w:type="default" r:id="rId8"/>
      <w:footerReference w:type="even" r:id="rId9"/>
      <w:footerReference w:type="default" r:id="rId10"/>
      <w:headerReference w:type="first" r:id="rId11"/>
      <w:footerReference w:type="first" r:id="rId12"/>
      <w:pgSz w:w="11907" w:h="16840" w:code="9"/>
      <w:pgMar w:top="1701" w:right="1701" w:bottom="1701" w:left="2268" w:header="720" w:footer="720" w:gutter="0"/>
      <w:pgNumType w:fmt="lowerRoman"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BAF" w:rsidRDefault="004E4BAF" w:rsidP="005E7FA6">
      <w:pPr>
        <w:spacing w:after="0" w:line="240" w:lineRule="auto"/>
      </w:pPr>
      <w:r>
        <w:separator/>
      </w:r>
    </w:p>
  </w:endnote>
  <w:endnote w:type="continuationSeparator" w:id="0">
    <w:p w:rsidR="004E4BAF" w:rsidRDefault="004E4BAF" w:rsidP="005E7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6C7" w:rsidRDefault="00D916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34373"/>
      <w:docPartObj>
        <w:docPartGallery w:val="Page Numbers (Bottom of Page)"/>
        <w:docPartUnique/>
      </w:docPartObj>
    </w:sdtPr>
    <w:sdtEndPr>
      <w:rPr>
        <w:rFonts w:ascii="Times New Roman" w:hAnsi="Times New Roman" w:cs="Times New Roman"/>
        <w:sz w:val="24"/>
        <w:szCs w:val="24"/>
      </w:rPr>
    </w:sdtEndPr>
    <w:sdtContent>
      <w:p w:rsidR="00244E4F" w:rsidRPr="007F695C" w:rsidRDefault="008C0A58" w:rsidP="001D0786">
        <w:pPr>
          <w:pStyle w:val="Footer"/>
          <w:jc w:val="center"/>
          <w:rPr>
            <w:rFonts w:ascii="Times New Roman" w:hAnsi="Times New Roman" w:cs="Times New Roman"/>
            <w:sz w:val="24"/>
            <w:szCs w:val="24"/>
          </w:rPr>
        </w:pPr>
        <w:r w:rsidRPr="007F695C">
          <w:rPr>
            <w:rFonts w:ascii="Times New Roman" w:hAnsi="Times New Roman" w:cs="Times New Roman"/>
            <w:sz w:val="24"/>
            <w:szCs w:val="24"/>
          </w:rPr>
          <w:fldChar w:fldCharType="begin"/>
        </w:r>
        <w:r w:rsidR="00244E4F" w:rsidRPr="007F695C">
          <w:rPr>
            <w:rFonts w:ascii="Times New Roman" w:hAnsi="Times New Roman" w:cs="Times New Roman"/>
            <w:sz w:val="24"/>
            <w:szCs w:val="24"/>
          </w:rPr>
          <w:instrText xml:space="preserve"> PAGE   \* MERGEFORMAT </w:instrText>
        </w:r>
        <w:r w:rsidRPr="007F695C">
          <w:rPr>
            <w:rFonts w:ascii="Times New Roman" w:hAnsi="Times New Roman" w:cs="Times New Roman"/>
            <w:sz w:val="24"/>
            <w:szCs w:val="24"/>
          </w:rPr>
          <w:fldChar w:fldCharType="separate"/>
        </w:r>
        <w:r w:rsidR="00D916C7">
          <w:rPr>
            <w:rFonts w:ascii="Times New Roman" w:hAnsi="Times New Roman" w:cs="Times New Roman"/>
            <w:noProof/>
            <w:sz w:val="24"/>
            <w:szCs w:val="24"/>
          </w:rPr>
          <w:t>ii</w:t>
        </w:r>
        <w:r w:rsidRPr="007F695C">
          <w:rPr>
            <w:rFonts w:ascii="Times New Roman" w:hAnsi="Times New Roman" w:cs="Times New Roman"/>
            <w:noProof/>
            <w:sz w:val="24"/>
            <w:szCs w:val="24"/>
          </w:rPr>
          <w:fldChar w:fldCharType="end"/>
        </w:r>
      </w:p>
    </w:sdtContent>
  </w:sdt>
  <w:p w:rsidR="00244E4F" w:rsidRDefault="00244E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E4F" w:rsidRPr="007F695C" w:rsidRDefault="00244E4F" w:rsidP="007754EB">
    <w:pPr>
      <w:pStyle w:val="Footer"/>
      <w:jc w:val="center"/>
      <w:rPr>
        <w:rFonts w:ascii="Times New Roman" w:hAnsi="Times New Roman" w:cs="Times New Roman"/>
        <w:sz w:val="24"/>
        <w:szCs w:val="24"/>
        <w:lang w:val="en-US"/>
      </w:rPr>
    </w:pPr>
    <w:r w:rsidRPr="007F695C">
      <w:rPr>
        <w:rFonts w:ascii="Times New Roman" w:hAnsi="Times New Roman" w:cs="Times New Roman"/>
        <w:sz w:val="24"/>
        <w:szCs w:val="24"/>
        <w:lang w:val="en-US"/>
      </w:rPr>
      <w: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BAF" w:rsidRDefault="004E4BAF" w:rsidP="005E7FA6">
      <w:pPr>
        <w:spacing w:after="0" w:line="240" w:lineRule="auto"/>
      </w:pPr>
      <w:r>
        <w:separator/>
      </w:r>
    </w:p>
  </w:footnote>
  <w:footnote w:type="continuationSeparator" w:id="0">
    <w:p w:rsidR="004E4BAF" w:rsidRDefault="004E4BAF" w:rsidP="005E7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6C7" w:rsidRDefault="00D916C7">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1663479" o:spid="_x0000_s2050" type="#_x0000_t75" style="position:absolute;margin-left:0;margin-top:0;width:396.75pt;height:396.75pt;z-index:-251657216;mso-position-horizontal:center;mso-position-horizontal-relative:margin;mso-position-vertical:center;mso-position-vertical-relative:margin" o:allowincell="f">
          <v:imagedata r:id="rId1" o:title="STIE Ekuitas logo polo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6C7" w:rsidRDefault="00D916C7">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1663480" o:spid="_x0000_s2051" type="#_x0000_t75" style="position:absolute;margin-left:0;margin-top:0;width:396.75pt;height:396.75pt;z-index:-251656192;mso-position-horizontal:center;mso-position-horizontal-relative:margin;mso-position-vertical:center;mso-position-vertical-relative:margin" o:allowincell="f">
          <v:imagedata r:id="rId1" o:title="STIE Ekuitas logo polo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6C7" w:rsidRDefault="00D916C7">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1663478" o:spid="_x0000_s2049" type="#_x0000_t75" style="position:absolute;margin-left:0;margin-top:0;width:396.75pt;height:396.75pt;z-index:-251658240;mso-position-horizontal:center;mso-position-horizontal-relative:margin;mso-position-vertical:center;mso-position-vertical-relative:margin" o:allowincell="f">
          <v:imagedata r:id="rId1" o:title="STIE Ekuitas logo polo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7E10"/>
    <w:multiLevelType w:val="hybridMultilevel"/>
    <w:tmpl w:val="5802BC96"/>
    <w:lvl w:ilvl="0" w:tplc="6032DAD0">
      <w:start w:val="1"/>
      <w:numFmt w:val="decimal"/>
      <w:lvlText w:val="3.%1"/>
      <w:lvlJc w:val="left"/>
      <w:pPr>
        <w:ind w:left="1287"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72666D0"/>
    <w:multiLevelType w:val="multilevel"/>
    <w:tmpl w:val="68B69120"/>
    <w:lvl w:ilvl="0">
      <w:start w:val="1"/>
      <w:numFmt w:val="none"/>
      <w:isLgl/>
      <w:lvlText w:val="1.3"/>
      <w:lvlJc w:val="left"/>
      <w:pPr>
        <w:ind w:left="360" w:hanging="360"/>
      </w:pPr>
      <w:rPr>
        <w:rFonts w:hint="default"/>
      </w:rPr>
    </w:lvl>
    <w:lvl w:ilvl="1">
      <w:start w:val="2"/>
      <w:numFmt w:val="decimal"/>
      <w:lvlText w:val="%1.%2"/>
      <w:lvlJc w:val="left"/>
      <w:pPr>
        <w:ind w:left="1080" w:hanging="360"/>
      </w:pPr>
      <w:rPr>
        <w:rFonts w:hint="default"/>
      </w:rPr>
    </w:lvl>
    <w:lvl w:ilv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7E92952"/>
    <w:multiLevelType w:val="multilevel"/>
    <w:tmpl w:val="296EE22A"/>
    <w:lvl w:ilvl="0">
      <w:start w:val="2"/>
      <w:numFmt w:val="none"/>
      <w:lvlText w:val="4.2.2"/>
      <w:lvlJc w:val="left"/>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541CDA"/>
    <w:multiLevelType w:val="multilevel"/>
    <w:tmpl w:val="D2AEE4EA"/>
    <w:lvl w:ilvl="0">
      <w:start w:val="2"/>
      <w:numFmt w:val="none"/>
      <w:lvlText w:val="4.1.1"/>
      <w:lvlJc w:val="left"/>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E4B7B41"/>
    <w:multiLevelType w:val="multilevel"/>
    <w:tmpl w:val="0500517E"/>
    <w:lvl w:ilvl="0">
      <w:start w:val="2"/>
      <w:numFmt w:val="none"/>
      <w:lvlText w:val="4.3"/>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FF68A8"/>
    <w:multiLevelType w:val="hybridMultilevel"/>
    <w:tmpl w:val="C3E01F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32C2EE1"/>
    <w:multiLevelType w:val="multilevel"/>
    <w:tmpl w:val="794E1E10"/>
    <w:lvl w:ilvl="0">
      <w:start w:val="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5E59F4"/>
    <w:multiLevelType w:val="multilevel"/>
    <w:tmpl w:val="27EE48D8"/>
    <w:lvl w:ilvl="0">
      <w:start w:val="1"/>
      <w:numFmt w:val="decimal"/>
      <w:lvlText w:val="4.1.1.%1"/>
      <w:lvlJc w:val="center"/>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B7802BD"/>
    <w:multiLevelType w:val="multilevel"/>
    <w:tmpl w:val="C34CAED2"/>
    <w:lvl w:ilvl="0">
      <w:start w:val="2"/>
      <w:numFmt w:val="decimal"/>
      <w:lvlText w:val="4.1.%1"/>
      <w:lvlJc w:val="left"/>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D115621"/>
    <w:multiLevelType w:val="multilevel"/>
    <w:tmpl w:val="3D4C137E"/>
    <w:lvl w:ilvl="0">
      <w:start w:val="1"/>
      <w:numFmt w:val="decimal"/>
      <w:isLgl/>
      <w:lvlText w:val="%1.2.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2C6520"/>
    <w:multiLevelType w:val="multilevel"/>
    <w:tmpl w:val="1840BAA8"/>
    <w:lvl w:ilvl="0">
      <w:start w:val="1"/>
      <w:numFmt w:val="none"/>
      <w:lvlText w:val="1.1"/>
      <w:lvlJc w:val="left"/>
      <w:pPr>
        <w:ind w:left="360" w:hanging="360"/>
      </w:pPr>
      <w:rPr>
        <w:rFonts w:hint="default"/>
        <w:b w:val="0"/>
      </w:rPr>
    </w:lvl>
    <w:lvl w:ilvl="1">
      <w:start w:val="1"/>
      <w:numFmt w:val="non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42569E"/>
    <w:multiLevelType w:val="multilevel"/>
    <w:tmpl w:val="2162F29E"/>
    <w:lvl w:ilvl="0">
      <w:start w:val="2"/>
      <w:numFmt w:val="none"/>
      <w:lvlText w:val="3.3"/>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F5F7D79"/>
    <w:multiLevelType w:val="multilevel"/>
    <w:tmpl w:val="9CE80B04"/>
    <w:lvl w:ilvl="0">
      <w:start w:val="2"/>
      <w:numFmt w:val="none"/>
      <w:lvlText w:val="3.4"/>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2285C83"/>
    <w:multiLevelType w:val="multilevel"/>
    <w:tmpl w:val="A52E490E"/>
    <w:lvl w:ilvl="0">
      <w:start w:val="3"/>
      <w:numFmt w:val="decimal"/>
      <w:lvlText w:val="%1"/>
      <w:lvlJc w:val="left"/>
      <w:pPr>
        <w:ind w:left="480" w:hanging="480"/>
      </w:pPr>
      <w:rPr>
        <w:rFonts w:hint="default"/>
        <w:b w:val="0"/>
      </w:rPr>
    </w:lvl>
    <w:lvl w:ilvl="1">
      <w:start w:val="2"/>
      <w:numFmt w:val="decimal"/>
      <w:lvlText w:val="%1.%2"/>
      <w:lvlJc w:val="left"/>
      <w:pPr>
        <w:ind w:left="763" w:hanging="480"/>
      </w:pPr>
      <w:rPr>
        <w:rFonts w:hint="default"/>
        <w:b w:val="0"/>
      </w:rPr>
    </w:lvl>
    <w:lvl w:ilvl="2">
      <w:start w:val="3"/>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4" w15:restartNumberingAfterBreak="0">
    <w:nsid w:val="32E233FD"/>
    <w:multiLevelType w:val="multilevel"/>
    <w:tmpl w:val="25BAC610"/>
    <w:lvl w:ilvl="0">
      <w:start w:val="2"/>
      <w:numFmt w:val="none"/>
      <w:lvlText w:val="2.2"/>
      <w:lvlJc w:val="left"/>
      <w:pPr>
        <w:ind w:left="567"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7BA109D"/>
    <w:multiLevelType w:val="multilevel"/>
    <w:tmpl w:val="E4DA1874"/>
    <w:lvl w:ilvl="0">
      <w:start w:val="2"/>
      <w:numFmt w:val="none"/>
      <w:lvlText w:val="5.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80D7A07"/>
    <w:multiLevelType w:val="multilevel"/>
    <w:tmpl w:val="FF82E4BC"/>
    <w:lvl w:ilvl="0">
      <w:start w:val="2"/>
      <w:numFmt w:val="none"/>
      <w:lvlText w:val="2.1"/>
      <w:lvlJc w:val="left"/>
      <w:pPr>
        <w:ind w:left="567" w:hanging="567"/>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A5A3DAC"/>
    <w:multiLevelType w:val="multilevel"/>
    <w:tmpl w:val="2424F5F0"/>
    <w:lvl w:ilvl="0">
      <w:start w:val="1"/>
      <w:numFmt w:val="decimal"/>
      <w:lvlText w:val="4.%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CB830DB"/>
    <w:multiLevelType w:val="hybridMultilevel"/>
    <w:tmpl w:val="23062308"/>
    <w:lvl w:ilvl="0" w:tplc="396EA6CA">
      <w:start w:val="1"/>
      <w:numFmt w:val="decimal"/>
      <w:lvlText w:val="3.3.%1"/>
      <w:lvlJc w:val="left"/>
      <w:pPr>
        <w:ind w:left="1287" w:hanging="360"/>
      </w:pPr>
      <w:rPr>
        <w:rFonts w:hint="default"/>
        <w:b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15:restartNumberingAfterBreak="0">
    <w:nsid w:val="3DC9783B"/>
    <w:multiLevelType w:val="hybridMultilevel"/>
    <w:tmpl w:val="82687980"/>
    <w:lvl w:ilvl="0" w:tplc="B668681C">
      <w:start w:val="1"/>
      <w:numFmt w:val="decimal"/>
      <w:lvlText w:val="3.2.%1"/>
      <w:lvlJc w:val="left"/>
      <w:pPr>
        <w:ind w:left="1287" w:hanging="360"/>
      </w:pPr>
      <w:rPr>
        <w:rFonts w:hint="default"/>
        <w:b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15:restartNumberingAfterBreak="0">
    <w:nsid w:val="441103CA"/>
    <w:multiLevelType w:val="multilevel"/>
    <w:tmpl w:val="4058FD36"/>
    <w:lvl w:ilvl="0">
      <w:start w:val="1"/>
      <w:numFmt w:val="none"/>
      <w:lvlText w:val="1.2"/>
      <w:lvlJc w:val="left"/>
      <w:pPr>
        <w:ind w:left="360" w:hanging="360"/>
      </w:pPr>
      <w:rPr>
        <w:rFonts w:hint="default"/>
        <w:b w:val="0"/>
      </w:rPr>
    </w:lvl>
    <w:lvl w:ilvl="1">
      <w:start w:val="1"/>
      <w:numFmt w:val="non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B43EE8"/>
    <w:multiLevelType w:val="multilevel"/>
    <w:tmpl w:val="354E7058"/>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4E3103E6"/>
    <w:multiLevelType w:val="hybridMultilevel"/>
    <w:tmpl w:val="02B66942"/>
    <w:lvl w:ilvl="0" w:tplc="48DA4FDC">
      <w:start w:val="1"/>
      <w:numFmt w:val="decimal"/>
      <w:lvlText w:val="4.2.%1"/>
      <w:lvlJc w:val="left"/>
      <w:pPr>
        <w:ind w:left="1287" w:hanging="360"/>
      </w:pPr>
      <w:rPr>
        <w:rFonts w:hint="default"/>
      </w:r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3" w15:restartNumberingAfterBreak="0">
    <w:nsid w:val="5266538D"/>
    <w:multiLevelType w:val="multilevel"/>
    <w:tmpl w:val="2F66D65A"/>
    <w:lvl w:ilvl="0">
      <w:start w:val="2"/>
      <w:numFmt w:val="none"/>
      <w:lvlText w:val="5.2"/>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97B7F4B"/>
    <w:multiLevelType w:val="hybridMultilevel"/>
    <w:tmpl w:val="76A86C2C"/>
    <w:lvl w:ilvl="0" w:tplc="309AE0AC">
      <w:start w:val="2"/>
      <w:numFmt w:val="decimal"/>
      <w:lvlText w:val="4.%1"/>
      <w:lvlJc w:val="left"/>
      <w:pPr>
        <w:ind w:left="3130" w:hanging="360"/>
      </w:pPr>
      <w:rPr>
        <w:rFonts w:hint="default"/>
      </w:r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5" w15:restartNumberingAfterBreak="0">
    <w:nsid w:val="605A39ED"/>
    <w:multiLevelType w:val="multilevel"/>
    <w:tmpl w:val="91A4C1A4"/>
    <w:lvl w:ilvl="0">
      <w:start w:val="1"/>
      <w:numFmt w:val="decimal"/>
      <w:lvlText w:val="4.1.2.%1"/>
      <w:lvlJc w:val="center"/>
      <w:pPr>
        <w:ind w:left="1134"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10258F9"/>
    <w:multiLevelType w:val="multilevel"/>
    <w:tmpl w:val="1A26A8C6"/>
    <w:lvl w:ilvl="0">
      <w:start w:val="1"/>
      <w:numFmt w:val="decimal"/>
      <w:lvlText w:val="3.4.%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4CB7E49"/>
    <w:multiLevelType w:val="multilevel"/>
    <w:tmpl w:val="239A2BA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41341F"/>
    <w:multiLevelType w:val="multilevel"/>
    <w:tmpl w:val="59F6CBC4"/>
    <w:lvl w:ilvl="0">
      <w:start w:val="3"/>
      <w:numFmt w:val="decimal"/>
      <w:lvlText w:val="2.%1."/>
      <w:lvlJc w:val="left"/>
      <w:pPr>
        <w:ind w:left="1134"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E0A36E9"/>
    <w:multiLevelType w:val="multilevel"/>
    <w:tmpl w:val="28907996"/>
    <w:lvl w:ilvl="0">
      <w:start w:val="1"/>
      <w:numFmt w:val="none"/>
      <w:lvlText w:val="1.4"/>
      <w:lvlJc w:val="left"/>
      <w:pPr>
        <w:ind w:left="360" w:hanging="360"/>
      </w:pPr>
      <w:rPr>
        <w:rFonts w:hint="default"/>
      </w:rPr>
    </w:lvl>
    <w:lvl w:ilvl="1">
      <w:start w:val="2"/>
      <w:numFmt w:val="decimal"/>
      <w:lvlText w:val="%1.%2"/>
      <w:lvlJc w:val="left"/>
      <w:pPr>
        <w:ind w:left="1080" w:hanging="360"/>
      </w:pPr>
      <w:rPr>
        <w:rFonts w:hint="default"/>
      </w:rPr>
    </w:lvl>
    <w:lvl w:ilv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45A7260"/>
    <w:multiLevelType w:val="multilevel"/>
    <w:tmpl w:val="51661058"/>
    <w:lvl w:ilvl="0">
      <w:start w:val="1"/>
      <w:numFmt w:val="decimal"/>
      <w:lvlText w:val="2.2.%1"/>
      <w:lvlJc w:val="left"/>
      <w:pPr>
        <w:ind w:left="567"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99D3C93"/>
    <w:multiLevelType w:val="multilevel"/>
    <w:tmpl w:val="1110D7D4"/>
    <w:lvl w:ilvl="0">
      <w:start w:val="2"/>
      <w:numFmt w:val="none"/>
      <w:lvlText w:val="3.1"/>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B5B36DA"/>
    <w:multiLevelType w:val="multilevel"/>
    <w:tmpl w:val="B2340BBA"/>
    <w:lvl w:ilvl="0">
      <w:start w:val="2"/>
      <w:numFmt w:val="none"/>
      <w:lvlText w:val="3.2"/>
      <w:lvlJc w:val="left"/>
      <w:pPr>
        <w:ind w:left="567" w:hanging="567"/>
      </w:pPr>
      <w:rPr>
        <w:rFonts w:hint="default"/>
        <w:b w:val="0"/>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DC83350"/>
    <w:multiLevelType w:val="multilevel"/>
    <w:tmpl w:val="FBFC8164"/>
    <w:lvl w:ilvl="0">
      <w:start w:val="2"/>
      <w:numFmt w:val="decimal"/>
      <w:lvlText w:val="2.2.%1"/>
      <w:lvlJc w:val="left"/>
      <w:pPr>
        <w:ind w:left="1134" w:hanging="567"/>
      </w:pPr>
      <w:rPr>
        <w:rFonts w:hint="default"/>
      </w:rPr>
    </w:lvl>
    <w:lvl w:ilvl="1">
      <w:start w:val="1"/>
      <w:numFmt w:val="none"/>
      <w:suff w:val="space"/>
      <w:lvlText w:val="2.1.1"/>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20"/>
  </w:num>
  <w:num w:numId="3">
    <w:abstractNumId w:val="9"/>
  </w:num>
  <w:num w:numId="4">
    <w:abstractNumId w:val="1"/>
  </w:num>
  <w:num w:numId="5">
    <w:abstractNumId w:val="29"/>
  </w:num>
  <w:num w:numId="6">
    <w:abstractNumId w:val="16"/>
  </w:num>
  <w:num w:numId="7">
    <w:abstractNumId w:val="14"/>
  </w:num>
  <w:num w:numId="8">
    <w:abstractNumId w:val="30"/>
  </w:num>
  <w:num w:numId="9">
    <w:abstractNumId w:val="33"/>
  </w:num>
  <w:num w:numId="10">
    <w:abstractNumId w:val="28"/>
  </w:num>
  <w:num w:numId="11">
    <w:abstractNumId w:val="31"/>
  </w:num>
  <w:num w:numId="12">
    <w:abstractNumId w:val="32"/>
  </w:num>
  <w:num w:numId="13">
    <w:abstractNumId w:val="11"/>
  </w:num>
  <w:num w:numId="14">
    <w:abstractNumId w:val="12"/>
  </w:num>
  <w:num w:numId="15">
    <w:abstractNumId w:val="26"/>
  </w:num>
  <w:num w:numId="16">
    <w:abstractNumId w:val="17"/>
  </w:num>
  <w:num w:numId="17">
    <w:abstractNumId w:val="3"/>
  </w:num>
  <w:num w:numId="18">
    <w:abstractNumId w:val="7"/>
  </w:num>
  <w:num w:numId="19">
    <w:abstractNumId w:val="8"/>
  </w:num>
  <w:num w:numId="20">
    <w:abstractNumId w:val="25"/>
  </w:num>
  <w:num w:numId="21">
    <w:abstractNumId w:val="2"/>
  </w:num>
  <w:num w:numId="22">
    <w:abstractNumId w:val="4"/>
  </w:num>
  <w:num w:numId="23">
    <w:abstractNumId w:val="15"/>
  </w:num>
  <w:num w:numId="24">
    <w:abstractNumId w:val="23"/>
  </w:num>
  <w:num w:numId="25">
    <w:abstractNumId w:val="19"/>
  </w:num>
  <w:num w:numId="26">
    <w:abstractNumId w:val="18"/>
  </w:num>
  <w:num w:numId="27">
    <w:abstractNumId w:val="0"/>
  </w:num>
  <w:num w:numId="28">
    <w:abstractNumId w:val="24"/>
  </w:num>
  <w:num w:numId="29">
    <w:abstractNumId w:val="22"/>
  </w:num>
  <w:num w:numId="30">
    <w:abstractNumId w:val="13"/>
  </w:num>
  <w:num w:numId="31">
    <w:abstractNumId w:val="6"/>
  </w:num>
  <w:num w:numId="32">
    <w:abstractNumId w:val="27"/>
  </w:num>
  <w:num w:numId="33">
    <w:abstractNumId w:val="21"/>
  </w:num>
  <w:num w:numId="34">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D553F"/>
    <w:rsid w:val="0002471C"/>
    <w:rsid w:val="00026C33"/>
    <w:rsid w:val="00031899"/>
    <w:rsid w:val="0005621D"/>
    <w:rsid w:val="000839A2"/>
    <w:rsid w:val="00093654"/>
    <w:rsid w:val="000B0374"/>
    <w:rsid w:val="000B5483"/>
    <w:rsid w:val="000C5385"/>
    <w:rsid w:val="000D553F"/>
    <w:rsid w:val="001022ED"/>
    <w:rsid w:val="00131D08"/>
    <w:rsid w:val="00152FAC"/>
    <w:rsid w:val="00164590"/>
    <w:rsid w:val="00175978"/>
    <w:rsid w:val="00191138"/>
    <w:rsid w:val="00192A8B"/>
    <w:rsid w:val="001A5450"/>
    <w:rsid w:val="001B46EB"/>
    <w:rsid w:val="001D0786"/>
    <w:rsid w:val="001D7FBD"/>
    <w:rsid w:val="0021404C"/>
    <w:rsid w:val="0021779F"/>
    <w:rsid w:val="00244E4F"/>
    <w:rsid w:val="0025155B"/>
    <w:rsid w:val="00263647"/>
    <w:rsid w:val="002773A0"/>
    <w:rsid w:val="002A6983"/>
    <w:rsid w:val="002B3F74"/>
    <w:rsid w:val="002C5BAB"/>
    <w:rsid w:val="003023AE"/>
    <w:rsid w:val="00323CD1"/>
    <w:rsid w:val="0032526D"/>
    <w:rsid w:val="00331F64"/>
    <w:rsid w:val="00336A94"/>
    <w:rsid w:val="00394D37"/>
    <w:rsid w:val="00396160"/>
    <w:rsid w:val="003C5DE4"/>
    <w:rsid w:val="003E1ADC"/>
    <w:rsid w:val="003E5FCA"/>
    <w:rsid w:val="004122B5"/>
    <w:rsid w:val="00414BB0"/>
    <w:rsid w:val="004151DD"/>
    <w:rsid w:val="00433D72"/>
    <w:rsid w:val="0045021D"/>
    <w:rsid w:val="00462AE2"/>
    <w:rsid w:val="004B3DAD"/>
    <w:rsid w:val="004B66E0"/>
    <w:rsid w:val="004B6EF2"/>
    <w:rsid w:val="004C2267"/>
    <w:rsid w:val="004C3D1A"/>
    <w:rsid w:val="004D39ED"/>
    <w:rsid w:val="004D706E"/>
    <w:rsid w:val="004E4BAF"/>
    <w:rsid w:val="004E7156"/>
    <w:rsid w:val="004F2F62"/>
    <w:rsid w:val="00504D7D"/>
    <w:rsid w:val="0053790C"/>
    <w:rsid w:val="00550919"/>
    <w:rsid w:val="00552892"/>
    <w:rsid w:val="00552EF2"/>
    <w:rsid w:val="00556DAC"/>
    <w:rsid w:val="005607B2"/>
    <w:rsid w:val="005728F8"/>
    <w:rsid w:val="00586A96"/>
    <w:rsid w:val="005B113F"/>
    <w:rsid w:val="005B5CCF"/>
    <w:rsid w:val="005C6C64"/>
    <w:rsid w:val="005D28E7"/>
    <w:rsid w:val="005E7FA6"/>
    <w:rsid w:val="0060257D"/>
    <w:rsid w:val="00604203"/>
    <w:rsid w:val="0061217A"/>
    <w:rsid w:val="00617D10"/>
    <w:rsid w:val="00620757"/>
    <w:rsid w:val="00633B67"/>
    <w:rsid w:val="006B41FC"/>
    <w:rsid w:val="006D37EF"/>
    <w:rsid w:val="006E05E4"/>
    <w:rsid w:val="006E767E"/>
    <w:rsid w:val="00700E6B"/>
    <w:rsid w:val="0070434A"/>
    <w:rsid w:val="00704C51"/>
    <w:rsid w:val="007216F9"/>
    <w:rsid w:val="00752B7C"/>
    <w:rsid w:val="00773BCE"/>
    <w:rsid w:val="007754EB"/>
    <w:rsid w:val="00794CC9"/>
    <w:rsid w:val="007A32CC"/>
    <w:rsid w:val="007A6E46"/>
    <w:rsid w:val="007C6F14"/>
    <w:rsid w:val="007D6D4A"/>
    <w:rsid w:val="007D7CFF"/>
    <w:rsid w:val="007F695C"/>
    <w:rsid w:val="00815A5E"/>
    <w:rsid w:val="008610EC"/>
    <w:rsid w:val="0087367C"/>
    <w:rsid w:val="008946D2"/>
    <w:rsid w:val="008C06CA"/>
    <w:rsid w:val="008C0A58"/>
    <w:rsid w:val="008C764D"/>
    <w:rsid w:val="008D0D67"/>
    <w:rsid w:val="008F0F08"/>
    <w:rsid w:val="00914BC0"/>
    <w:rsid w:val="00944882"/>
    <w:rsid w:val="0096009C"/>
    <w:rsid w:val="00962270"/>
    <w:rsid w:val="00973021"/>
    <w:rsid w:val="00975D9F"/>
    <w:rsid w:val="00980E51"/>
    <w:rsid w:val="00981BD7"/>
    <w:rsid w:val="009850D2"/>
    <w:rsid w:val="009B3D21"/>
    <w:rsid w:val="009E054B"/>
    <w:rsid w:val="009F7061"/>
    <w:rsid w:val="00A005F7"/>
    <w:rsid w:val="00A01639"/>
    <w:rsid w:val="00A016AC"/>
    <w:rsid w:val="00A30395"/>
    <w:rsid w:val="00A52D05"/>
    <w:rsid w:val="00A6631F"/>
    <w:rsid w:val="00A8026E"/>
    <w:rsid w:val="00AA12A7"/>
    <w:rsid w:val="00AA2CD9"/>
    <w:rsid w:val="00AB4A5A"/>
    <w:rsid w:val="00AD745D"/>
    <w:rsid w:val="00AF04F3"/>
    <w:rsid w:val="00AF3B1C"/>
    <w:rsid w:val="00B00C8C"/>
    <w:rsid w:val="00B13A5B"/>
    <w:rsid w:val="00B241B7"/>
    <w:rsid w:val="00B32F0D"/>
    <w:rsid w:val="00B51B7E"/>
    <w:rsid w:val="00B75AC5"/>
    <w:rsid w:val="00B8114F"/>
    <w:rsid w:val="00B85CFD"/>
    <w:rsid w:val="00BA5394"/>
    <w:rsid w:val="00BB5067"/>
    <w:rsid w:val="00BE6C34"/>
    <w:rsid w:val="00C07DDC"/>
    <w:rsid w:val="00C23DFA"/>
    <w:rsid w:val="00C36AA9"/>
    <w:rsid w:val="00C55375"/>
    <w:rsid w:val="00C64076"/>
    <w:rsid w:val="00C73741"/>
    <w:rsid w:val="00CB0259"/>
    <w:rsid w:val="00CB3388"/>
    <w:rsid w:val="00CD1702"/>
    <w:rsid w:val="00CD20B4"/>
    <w:rsid w:val="00CD505C"/>
    <w:rsid w:val="00CE0000"/>
    <w:rsid w:val="00CF344E"/>
    <w:rsid w:val="00CF4548"/>
    <w:rsid w:val="00D002B6"/>
    <w:rsid w:val="00D251A0"/>
    <w:rsid w:val="00D27DB6"/>
    <w:rsid w:val="00D81539"/>
    <w:rsid w:val="00D8677C"/>
    <w:rsid w:val="00D916C7"/>
    <w:rsid w:val="00D93540"/>
    <w:rsid w:val="00DA1021"/>
    <w:rsid w:val="00DB205C"/>
    <w:rsid w:val="00DB2C27"/>
    <w:rsid w:val="00DB2C49"/>
    <w:rsid w:val="00DD24F0"/>
    <w:rsid w:val="00DE7E9B"/>
    <w:rsid w:val="00DF5379"/>
    <w:rsid w:val="00E002AA"/>
    <w:rsid w:val="00E002F4"/>
    <w:rsid w:val="00E024F3"/>
    <w:rsid w:val="00E03807"/>
    <w:rsid w:val="00E74508"/>
    <w:rsid w:val="00E767EA"/>
    <w:rsid w:val="00E76ED1"/>
    <w:rsid w:val="00ED1BE2"/>
    <w:rsid w:val="00F00A69"/>
    <w:rsid w:val="00F35AF4"/>
    <w:rsid w:val="00F36777"/>
    <w:rsid w:val="00F434B4"/>
    <w:rsid w:val="00F9142B"/>
    <w:rsid w:val="00F94E53"/>
    <w:rsid w:val="00FB1A7D"/>
    <w:rsid w:val="00FB3A0D"/>
    <w:rsid w:val="00FC7D2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992B82C-850B-4F3A-8414-8680D0A4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34A"/>
  </w:style>
  <w:style w:type="paragraph" w:styleId="Heading1">
    <w:name w:val="heading 1"/>
    <w:basedOn w:val="Normal"/>
    <w:next w:val="Normal"/>
    <w:link w:val="Heading1Char"/>
    <w:uiPriority w:val="9"/>
    <w:qFormat/>
    <w:rsid w:val="004B6EF2"/>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0D553F"/>
    <w:pPr>
      <w:ind w:left="720"/>
      <w:contextualSpacing/>
    </w:pPr>
  </w:style>
  <w:style w:type="paragraph" w:styleId="Header">
    <w:name w:val="header"/>
    <w:basedOn w:val="Normal"/>
    <w:link w:val="HeaderChar"/>
    <w:uiPriority w:val="99"/>
    <w:unhideWhenUsed/>
    <w:rsid w:val="005E7F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FA6"/>
  </w:style>
  <w:style w:type="paragraph" w:styleId="Footer">
    <w:name w:val="footer"/>
    <w:basedOn w:val="Normal"/>
    <w:link w:val="FooterChar"/>
    <w:uiPriority w:val="99"/>
    <w:unhideWhenUsed/>
    <w:rsid w:val="005E7F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FA6"/>
  </w:style>
  <w:style w:type="paragraph" w:customStyle="1" w:styleId="MediumGrid21">
    <w:name w:val="Medium Grid 21"/>
    <w:uiPriority w:val="1"/>
    <w:qFormat/>
    <w:rsid w:val="005D28E7"/>
    <w:pPr>
      <w:spacing w:after="0" w:line="240" w:lineRule="auto"/>
    </w:pPr>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CD20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0B4"/>
    <w:rPr>
      <w:rFonts w:ascii="Segoe UI" w:hAnsi="Segoe UI" w:cs="Segoe UI"/>
      <w:sz w:val="18"/>
      <w:szCs w:val="18"/>
    </w:rPr>
  </w:style>
  <w:style w:type="character" w:customStyle="1" w:styleId="Heading1Char">
    <w:name w:val="Heading 1 Char"/>
    <w:basedOn w:val="DefaultParagraphFont"/>
    <w:link w:val="Heading1"/>
    <w:uiPriority w:val="9"/>
    <w:rsid w:val="004B6EF2"/>
    <w:rPr>
      <w:rFonts w:asciiTheme="majorHAnsi" w:eastAsiaTheme="majorEastAsia" w:hAnsiTheme="majorHAnsi" w:cstheme="majorBidi"/>
      <w:b/>
      <w:bCs/>
      <w:color w:val="365F91" w:themeColor="accent1" w:themeShade="BF"/>
      <w:sz w:val="28"/>
      <w:szCs w:val="28"/>
      <w:lang w:eastAsia="en-US"/>
    </w:rPr>
  </w:style>
  <w:style w:type="paragraph" w:customStyle="1" w:styleId="Default">
    <w:name w:val="Default"/>
    <w:rsid w:val="004B6EF2"/>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ListParagraphChar">
    <w:name w:val="List Paragraph Char"/>
    <w:aliases w:val="skripsi Char,Body Text Char1 Char,Char Char2 Char,List Paragraph2 Char,List Paragraph1 Char"/>
    <w:basedOn w:val="DefaultParagraphFont"/>
    <w:link w:val="ListParagraph"/>
    <w:uiPriority w:val="34"/>
    <w:rsid w:val="00244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5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Irman</cp:lastModifiedBy>
  <cp:revision>31</cp:revision>
  <cp:lastPrinted>2018-03-10T12:15:00Z</cp:lastPrinted>
  <dcterms:created xsi:type="dcterms:W3CDTF">2018-07-24T17:27:00Z</dcterms:created>
  <dcterms:modified xsi:type="dcterms:W3CDTF">2019-08-24T04:11:00Z</dcterms:modified>
</cp:coreProperties>
</file>