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PENGARUH PENERAPAN KEBIJAKAN </w:t>
      </w:r>
      <w:r w:rsidRPr="003C5151">
        <w:rPr>
          <w:rFonts w:ascii="Times New Roman" w:hAnsi="Times New Roman" w:cs="Times New Roman"/>
          <w:b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b/>
          <w:sz w:val="24"/>
          <w:szCs w:val="24"/>
        </w:rPr>
        <w:t xml:space="preserve"> (LTV) SEBELUM DAN SEDUDAH PERATURAN BANK INDONESIA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No. 11/25/PBI/2009 TERHADAP PERTUMBUHAN KREDIT PROPERTI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(Studi Kasus Pada Bank BCA, BTN, Mandiri, Panin)</w:t>
      </w:r>
    </w:p>
    <w:p w:rsidR="00E237BB" w:rsidRDefault="00E237BB" w:rsidP="00E237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Oleh :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Relay Rasumelian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A10110340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Dibimbing Oleh: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Yudi Wahyudin S, S.E., M.Si.</w:t>
      </w:r>
    </w:p>
    <w:p w:rsidR="00E237BB" w:rsidRDefault="00E237BB" w:rsidP="00E237B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E237BB" w:rsidRDefault="00E237BB" w:rsidP="00E237B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Penelitian ini bertujuan untuk menganalisis pengaruh penerapan kebijakan </w:t>
      </w:r>
      <w:r w:rsidRPr="00E5683B">
        <w:rPr>
          <w:rFonts w:ascii="Times New Roman" w:hAnsi="Times New Roman" w:cs="Times New Roman"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sz w:val="24"/>
          <w:szCs w:val="24"/>
        </w:rPr>
        <w:t xml:space="preserve"> (LTV) sebelum dan sesudah Peraturan Bank Indonesia terhadap pertumbuhan kredit properti (studi kasus pada bank BCA, BTN, Mandiri, Panin).</w:t>
      </w: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Metode yang digunakan adalah metode deskriptif dan komparatif, dengan teknik pengumpulan  data studi dokumentasi, metode wawancara dan studi kepustakaan. Rancangan pengujian hipotesis menggunakan uji normalitas dan uji </w:t>
      </w:r>
      <w:r w:rsidRPr="00E5683B">
        <w:rPr>
          <w:rFonts w:ascii="Times New Roman" w:hAnsi="Times New Roman" w:cs="Times New Roman"/>
          <w:i/>
          <w:sz w:val="24"/>
          <w:szCs w:val="24"/>
        </w:rPr>
        <w:t>paired sample t-test</w:t>
      </w:r>
      <w:r>
        <w:rPr>
          <w:rFonts w:ascii="Times New Roman" w:hAnsi="Times New Roman" w:cs="Times New Roman"/>
          <w:sz w:val="24"/>
          <w:szCs w:val="24"/>
        </w:rPr>
        <w:t xml:space="preserve"> (dependent).  </w:t>
      </w: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Berdasarkan hasil perhitungan uji </w:t>
      </w:r>
      <w:r w:rsidRPr="00E5683B">
        <w:rPr>
          <w:rFonts w:ascii="Times New Roman" w:hAnsi="Times New Roman" w:cs="Times New Roman"/>
          <w:i/>
          <w:sz w:val="24"/>
          <w:szCs w:val="24"/>
        </w:rPr>
        <w:t>paired sample t-test</w:t>
      </w:r>
      <w:r>
        <w:rPr>
          <w:rFonts w:ascii="Times New Roman" w:hAnsi="Times New Roman" w:cs="Times New Roman"/>
          <w:sz w:val="24"/>
          <w:szCs w:val="24"/>
        </w:rPr>
        <w:t xml:space="preserve"> (dependent) menunjukan ada penurunan rata-rata pertumbuhan kredit di bank BCA sebesar </w:t>
      </w:r>
      <w:r w:rsidRPr="00EC7304">
        <w:rPr>
          <w:rFonts w:ascii="Times New Roman" w:hAnsi="Times New Roman" w:cs="Times New Roman"/>
          <w:iCs/>
          <w:sz w:val="24"/>
          <w:szCs w:val="24"/>
        </w:rPr>
        <w:t xml:space="preserve"> 2,29%, BTN mengalami penurunan sebesar 3,80%, bank Mandiri mengalami penurunan 2,85% dan bank Panin mengalami penurunan sebesar 10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 xml:space="preserve"> setelah ada penerapan kebijakan </w:t>
      </w:r>
      <w:r w:rsidRPr="00E5683B">
        <w:rPr>
          <w:rFonts w:ascii="Times New Roman" w:hAnsi="Times New Roman" w:cs="Times New Roman"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sz w:val="24"/>
          <w:szCs w:val="24"/>
        </w:rPr>
        <w:t xml:space="preserve"> (LTV) menurut Peraturan Bank Indonesia No. 11/25/PBI/2009 yang tidak terlalu signifikan. Tidak ada perbedaan pertumbuhan kredit properti yang signifikan sebelum dan sesudah penerapan kebijakan </w:t>
      </w:r>
      <w:r w:rsidRPr="00E5683B">
        <w:rPr>
          <w:rFonts w:ascii="Times New Roman" w:hAnsi="Times New Roman" w:cs="Times New Roman"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sz w:val="24"/>
          <w:szCs w:val="24"/>
        </w:rPr>
        <w:t xml:space="preserve"> (LTV) menurut Peraturan Bank Indonesia No. 11/25/PBI/2009.Jadi tidak terdapat pengaruh penerapan </w:t>
      </w:r>
      <w:r w:rsidRPr="004140E6">
        <w:rPr>
          <w:rFonts w:ascii="Times New Roman" w:hAnsi="Times New Roman" w:cs="Times New Roman"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sz w:val="24"/>
          <w:szCs w:val="24"/>
        </w:rPr>
        <w:t xml:space="preserve"> (LTV) sebelum dan sesudah Peraturan Bank Indonesia No. 11/25/PBI/2009 terhadap pertumbuhan kredit properti.</w:t>
      </w: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237BB" w:rsidRPr="004140E6" w:rsidRDefault="00E237BB" w:rsidP="00E237B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Kata Kunci: </w:t>
      </w:r>
      <w:r w:rsidRPr="004140E6">
        <w:rPr>
          <w:rFonts w:ascii="Times New Roman" w:hAnsi="Times New Roman" w:cs="Times New Roman"/>
          <w:b/>
          <w:i/>
          <w:sz w:val="24"/>
          <w:szCs w:val="24"/>
        </w:rPr>
        <w:t>Loan to Value</w:t>
      </w:r>
      <w:r>
        <w:rPr>
          <w:rFonts w:ascii="Times New Roman" w:hAnsi="Times New Roman" w:cs="Times New Roman"/>
          <w:b/>
          <w:sz w:val="24"/>
          <w:szCs w:val="24"/>
        </w:rPr>
        <w:t xml:space="preserve"> (LTV), Pertumbuhan kredit properti.</w:t>
      </w:r>
    </w:p>
    <w:p w:rsidR="00E237BB" w:rsidRDefault="00E237BB" w:rsidP="00E237B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THE INFLUENCE OF APPLYING THE POLICY LOAN TO VALUE (LTV) BEFORE AND AFTER THE INDONESIAN BANK REGULATION 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NO. 11/25/PBI/2009 ON THE GROWTH OF PROPERTYLOAN</w:t>
      </w:r>
    </w:p>
    <w:p w:rsidR="00E237BB" w:rsidRPr="002D00FC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(Case Study on Banks BCA, BTN, Mandiri, Panin)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D00FC">
        <w:rPr>
          <w:rFonts w:ascii="Times New Roman" w:hAnsi="Times New Roman" w:cs="Times New Roman"/>
          <w:i/>
          <w:sz w:val="24"/>
          <w:szCs w:val="24"/>
        </w:rPr>
        <w:t>Written by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E237BB" w:rsidRPr="00F07EC4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07EC4">
        <w:rPr>
          <w:rFonts w:ascii="Times New Roman" w:hAnsi="Times New Roman" w:cs="Times New Roman"/>
          <w:b/>
          <w:i/>
          <w:sz w:val="24"/>
          <w:szCs w:val="24"/>
        </w:rPr>
        <w:t>Relay Rasumelian</w:t>
      </w:r>
    </w:p>
    <w:p w:rsidR="00E237BB" w:rsidRPr="00F07EC4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07EC4">
        <w:rPr>
          <w:rFonts w:ascii="Times New Roman" w:hAnsi="Times New Roman" w:cs="Times New Roman"/>
          <w:b/>
          <w:i/>
          <w:sz w:val="24"/>
          <w:szCs w:val="24"/>
        </w:rPr>
        <w:t>A10110340</w:t>
      </w: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Advisor:</w:t>
      </w:r>
    </w:p>
    <w:p w:rsidR="00E237BB" w:rsidRPr="00F07EC4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07EC4">
        <w:rPr>
          <w:rFonts w:ascii="Times New Roman" w:hAnsi="Times New Roman" w:cs="Times New Roman"/>
          <w:b/>
          <w:i/>
          <w:sz w:val="24"/>
          <w:szCs w:val="24"/>
        </w:rPr>
        <w:t>Yudi Wahyudin S, S.E.,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07EC4">
        <w:rPr>
          <w:rFonts w:ascii="Times New Roman" w:hAnsi="Times New Roman" w:cs="Times New Roman"/>
          <w:b/>
          <w:i/>
          <w:sz w:val="24"/>
          <w:szCs w:val="24"/>
        </w:rPr>
        <w:t>M.Si.</w:t>
      </w:r>
    </w:p>
    <w:p w:rsidR="00E237BB" w:rsidRPr="00F07EC4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237BB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7BB" w:rsidRPr="002D00FC" w:rsidRDefault="00E237BB" w:rsidP="00E237B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237BB" w:rsidRDefault="00E237BB" w:rsidP="00E237BB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E237BB" w:rsidRDefault="00E237BB" w:rsidP="00E237BB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The research is to analyzed the influence of applying the policy Loan to Value (LTV) before and after the Bank Indonesian Regulation No. 11/25/PBI/2009 on the growth of peoperty loans (case study banks BCA, BTN, Mandiri, Panin). </w:t>
      </w: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The method used are descriptive and komparative methods, </w:t>
      </w:r>
      <w:r w:rsidRPr="00B87106">
        <w:rPr>
          <w:rFonts w:ascii="Times New Roman" w:hAnsi="Times New Roman" w:cs="Times New Roman"/>
          <w:i/>
          <w:sz w:val="24"/>
          <w:szCs w:val="24"/>
        </w:rPr>
        <w:t>the techniques of data collection study of documentation, interviews and literature study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B87106">
        <w:rPr>
          <w:rFonts w:ascii="Times New Roman" w:hAnsi="Times New Roman" w:cs="Times New Roman"/>
          <w:i/>
          <w:sz w:val="24"/>
          <w:szCs w:val="24"/>
        </w:rPr>
        <w:t>The design of hypothesis testing using the normality test and paired samples t-test (dependent)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E237BB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7106">
        <w:rPr>
          <w:rFonts w:ascii="Times New Roman" w:hAnsi="Times New Roman" w:cs="Times New Roman"/>
          <w:i/>
          <w:sz w:val="24"/>
          <w:szCs w:val="24"/>
        </w:rPr>
        <w:t xml:space="preserve">Based on calculations paired samples t-test (dependent) showed no decline in average loan growth </w:t>
      </w:r>
      <w:r>
        <w:rPr>
          <w:rFonts w:ascii="Times New Roman" w:hAnsi="Times New Roman" w:cs="Times New Roman"/>
          <w:i/>
          <w:sz w:val="24"/>
          <w:szCs w:val="24"/>
        </w:rPr>
        <w:t>in Banks BCA for about 2,29 %, BTN decreased for about 3,80%, Mandiri decreased for about for about 2,85%, Panin decreased for about 10% after a policy Loan to Value (LTV) according to Bank Indonesian Regulation No. 11/25/PBI/2009 which is not significant. N</w:t>
      </w:r>
      <w:r w:rsidRPr="00280C3A">
        <w:rPr>
          <w:rFonts w:ascii="Times New Roman" w:hAnsi="Times New Roman" w:cs="Times New Roman"/>
          <w:i/>
          <w:sz w:val="24"/>
          <w:szCs w:val="24"/>
        </w:rPr>
        <w:t>o difference significant growth in property loans before and after implementation of policies Loan to Value (LTV) according to Bank Indonesia Regulation No. 11/25 / PBI / 2009</w:t>
      </w:r>
      <w:r>
        <w:rPr>
          <w:rFonts w:ascii="Times New Roman" w:hAnsi="Times New Roman" w:cs="Times New Roman"/>
          <w:i/>
          <w:sz w:val="24"/>
          <w:szCs w:val="24"/>
        </w:rPr>
        <w:t>.So there is no influence</w:t>
      </w:r>
      <w:r w:rsidRPr="00280C3A">
        <w:rPr>
          <w:rFonts w:ascii="Times New Roman" w:hAnsi="Times New Roman" w:cs="Times New Roman"/>
          <w:i/>
          <w:sz w:val="24"/>
          <w:szCs w:val="24"/>
        </w:rPr>
        <w:t xml:space="preserve"> of </w:t>
      </w:r>
      <w:r>
        <w:rPr>
          <w:rFonts w:ascii="Times New Roman" w:hAnsi="Times New Roman" w:cs="Times New Roman"/>
          <w:i/>
          <w:sz w:val="24"/>
          <w:szCs w:val="24"/>
        </w:rPr>
        <w:t xml:space="preserve">applying  </w:t>
      </w:r>
      <w:r w:rsidRPr="00280C3A">
        <w:rPr>
          <w:rFonts w:ascii="Times New Roman" w:hAnsi="Times New Roman" w:cs="Times New Roman"/>
          <w:i/>
          <w:sz w:val="24"/>
          <w:szCs w:val="24"/>
        </w:rPr>
        <w:t>the</w:t>
      </w:r>
      <w:r>
        <w:rPr>
          <w:rFonts w:ascii="Times New Roman" w:hAnsi="Times New Roman" w:cs="Times New Roman"/>
          <w:i/>
          <w:sz w:val="24"/>
          <w:szCs w:val="24"/>
        </w:rPr>
        <w:t xml:space="preserve"> policy</w:t>
      </w:r>
      <w:r w:rsidRPr="00280C3A">
        <w:rPr>
          <w:rFonts w:ascii="Times New Roman" w:hAnsi="Times New Roman" w:cs="Times New Roman"/>
          <w:i/>
          <w:sz w:val="24"/>
          <w:szCs w:val="24"/>
        </w:rPr>
        <w:t xml:space="preserve"> Loan to Value (LTV) before and after the Bank Indonesia Regulation No. 11/25 / PBI / 2009 on the growth of property loans.</w:t>
      </w:r>
    </w:p>
    <w:p w:rsidR="00E237BB" w:rsidRPr="002D00FC" w:rsidRDefault="00E237BB" w:rsidP="00E237B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237BB" w:rsidRDefault="00E237BB" w:rsidP="00E237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7BB" w:rsidRPr="00280C3A" w:rsidRDefault="00E237BB" w:rsidP="00E237B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0C3A">
        <w:rPr>
          <w:rFonts w:ascii="Times New Roman" w:hAnsi="Times New Roman" w:cs="Times New Roman"/>
          <w:b/>
          <w:i/>
          <w:sz w:val="24"/>
          <w:szCs w:val="24"/>
        </w:rPr>
        <w:t>Keywords: Loan to Value (LT</w:t>
      </w:r>
      <w:r>
        <w:rPr>
          <w:rFonts w:ascii="Times New Roman" w:hAnsi="Times New Roman" w:cs="Times New Roman"/>
          <w:b/>
          <w:i/>
          <w:sz w:val="24"/>
          <w:szCs w:val="24"/>
        </w:rPr>
        <w:t>V), The Grow</w:t>
      </w:r>
      <w:r w:rsidRPr="00280C3A">
        <w:rPr>
          <w:rFonts w:ascii="Times New Roman" w:hAnsi="Times New Roman" w:cs="Times New Roman"/>
          <w:b/>
          <w:i/>
          <w:sz w:val="24"/>
          <w:szCs w:val="24"/>
        </w:rPr>
        <w:t>th of Property Loans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501C2" w:rsidRDefault="003501C2">
      <w:bookmarkStart w:id="0" w:name="_GoBack"/>
      <w:bookmarkEnd w:id="0"/>
    </w:p>
    <w:sectPr w:rsidR="003501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A2" w:rsidRDefault="00DF09A2" w:rsidP="00E237BB">
      <w:pPr>
        <w:spacing w:after="0" w:line="240" w:lineRule="auto"/>
      </w:pPr>
      <w:r>
        <w:separator/>
      </w:r>
    </w:p>
  </w:endnote>
  <w:endnote w:type="continuationSeparator" w:id="0">
    <w:p w:rsidR="00DF09A2" w:rsidRDefault="00DF09A2" w:rsidP="00E2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7BB" w:rsidRDefault="00E237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7BB" w:rsidRDefault="00E237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7BB" w:rsidRDefault="00E237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A2" w:rsidRDefault="00DF09A2" w:rsidP="00E237BB">
      <w:pPr>
        <w:spacing w:after="0" w:line="240" w:lineRule="auto"/>
      </w:pPr>
      <w:r>
        <w:separator/>
      </w:r>
    </w:p>
  </w:footnote>
  <w:footnote w:type="continuationSeparator" w:id="0">
    <w:p w:rsidR="00DF09A2" w:rsidRDefault="00DF09A2" w:rsidP="00E23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7BB" w:rsidRDefault="00E237B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970059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7BB" w:rsidRDefault="00E237B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970060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7BB" w:rsidRDefault="00E237BB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970058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BB"/>
    <w:rsid w:val="00170577"/>
    <w:rsid w:val="003501C2"/>
    <w:rsid w:val="00DF09A2"/>
    <w:rsid w:val="00E2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7BB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7BB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E23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7BB"/>
    <w:rPr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7BB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7BB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E237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7BB"/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2</cp:revision>
  <cp:lastPrinted>2017-07-14T09:02:00Z</cp:lastPrinted>
  <dcterms:created xsi:type="dcterms:W3CDTF">2017-07-14T09:01:00Z</dcterms:created>
  <dcterms:modified xsi:type="dcterms:W3CDTF">2017-07-14T09:02:00Z</dcterms:modified>
</cp:coreProperties>
</file>