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8C6" w:rsidRPr="000D2FB1" w:rsidRDefault="008E18C6" w:rsidP="008E18C6">
      <w:pPr>
        <w:spacing w:after="0" w:line="240" w:lineRule="auto"/>
        <w:jc w:val="center"/>
        <w:rPr>
          <w:rFonts w:ascii="Times New Roman" w:hAnsi="Times New Roman" w:cs="Times New Roman"/>
          <w:b/>
        </w:rPr>
      </w:pPr>
      <w:r w:rsidRPr="000D2FB1">
        <w:rPr>
          <w:rFonts w:ascii="Times New Roman" w:hAnsi="Times New Roman" w:cs="Times New Roman"/>
          <w:b/>
        </w:rPr>
        <w:t xml:space="preserve">PENGARUH PENERAPAN KEBIJAKAN </w:t>
      </w:r>
      <w:r w:rsidRPr="000D2FB1">
        <w:rPr>
          <w:rFonts w:ascii="Times New Roman" w:hAnsi="Times New Roman" w:cs="Times New Roman"/>
          <w:b/>
          <w:i/>
        </w:rPr>
        <w:t>LOAN TO VALUE</w:t>
      </w:r>
      <w:r w:rsidRPr="000D2FB1">
        <w:rPr>
          <w:rFonts w:ascii="Times New Roman" w:hAnsi="Times New Roman" w:cs="Times New Roman"/>
          <w:b/>
        </w:rPr>
        <w:t xml:space="preserve"> (LTV)</w:t>
      </w:r>
    </w:p>
    <w:p w:rsidR="008E18C6" w:rsidRPr="000D2FB1" w:rsidRDefault="008E18C6" w:rsidP="008E18C6">
      <w:pPr>
        <w:spacing w:after="0" w:line="240" w:lineRule="auto"/>
        <w:jc w:val="center"/>
        <w:rPr>
          <w:rFonts w:ascii="Times New Roman" w:hAnsi="Times New Roman" w:cs="Times New Roman"/>
          <w:b/>
        </w:rPr>
      </w:pPr>
      <w:r w:rsidRPr="000D2FB1">
        <w:rPr>
          <w:rFonts w:ascii="Times New Roman" w:hAnsi="Times New Roman" w:cs="Times New Roman"/>
          <w:b/>
        </w:rPr>
        <w:t>SEBELUM DAN SEDUDAH PERATURAN BANK INDONESIA  No. 11/25/PBI/2009</w:t>
      </w:r>
    </w:p>
    <w:p w:rsidR="008E18C6" w:rsidRPr="000D2FB1" w:rsidRDefault="008E18C6" w:rsidP="008E18C6">
      <w:pPr>
        <w:spacing w:after="0" w:line="240" w:lineRule="auto"/>
        <w:jc w:val="center"/>
        <w:rPr>
          <w:rFonts w:ascii="Times New Roman" w:hAnsi="Times New Roman" w:cs="Times New Roman"/>
          <w:b/>
        </w:rPr>
      </w:pPr>
      <w:r w:rsidRPr="000D2FB1">
        <w:rPr>
          <w:rFonts w:ascii="Times New Roman" w:hAnsi="Times New Roman" w:cs="Times New Roman"/>
          <w:b/>
        </w:rPr>
        <w:t>TERHADAP PERTUMBUHAN KREDIT PROPERTI</w:t>
      </w:r>
    </w:p>
    <w:p w:rsidR="008E18C6" w:rsidRPr="000D2FB1" w:rsidRDefault="008E18C6" w:rsidP="008E18C6">
      <w:pPr>
        <w:spacing w:after="0" w:line="240" w:lineRule="auto"/>
        <w:jc w:val="center"/>
        <w:rPr>
          <w:rFonts w:ascii="Times New Roman" w:hAnsi="Times New Roman" w:cs="Times New Roman"/>
          <w:b/>
        </w:rPr>
      </w:pPr>
      <w:r w:rsidRPr="000D2FB1">
        <w:rPr>
          <w:rFonts w:ascii="Times New Roman" w:hAnsi="Times New Roman" w:cs="Times New Roman"/>
          <w:b/>
        </w:rPr>
        <w:t>(Studi Kasus Pada Bank BCA, BTN, Mandiri, Panin)</w:t>
      </w:r>
    </w:p>
    <w:p w:rsidR="009E7654" w:rsidRPr="000D2FB1" w:rsidRDefault="008E18C6" w:rsidP="008E18C6">
      <w:pPr>
        <w:spacing w:line="240" w:lineRule="auto"/>
        <w:jc w:val="center"/>
        <w:rPr>
          <w:rFonts w:ascii="Times New Roman" w:hAnsi="Times New Roman" w:cs="Times New Roman"/>
        </w:rPr>
      </w:pPr>
      <w:r w:rsidRPr="000D2FB1">
        <w:rPr>
          <w:rFonts w:ascii="Times New Roman" w:hAnsi="Times New Roman" w:cs="Times New Roman"/>
        </w:rPr>
        <w:t xml:space="preserve"> </w:t>
      </w:r>
    </w:p>
    <w:p w:rsidR="008E18C6" w:rsidRDefault="008E18C6" w:rsidP="008E18C6">
      <w:pPr>
        <w:spacing w:after="0" w:line="240" w:lineRule="auto"/>
        <w:jc w:val="center"/>
        <w:rPr>
          <w:rFonts w:ascii="Times New Roman" w:hAnsi="Times New Roman" w:cs="Times New Roman"/>
        </w:rPr>
      </w:pPr>
      <w:r w:rsidRPr="000D2FB1">
        <w:rPr>
          <w:rFonts w:ascii="Times New Roman" w:hAnsi="Times New Roman" w:cs="Times New Roman"/>
        </w:rPr>
        <w:t>Relay Rasumelian</w:t>
      </w:r>
    </w:p>
    <w:p w:rsidR="008E18C6" w:rsidRPr="000D2FB1" w:rsidRDefault="008E18C6" w:rsidP="008E18C6">
      <w:pPr>
        <w:spacing w:after="0" w:line="240" w:lineRule="auto"/>
        <w:jc w:val="center"/>
        <w:rPr>
          <w:rFonts w:ascii="Times New Roman" w:hAnsi="Times New Roman" w:cs="Times New Roman"/>
        </w:rPr>
      </w:pPr>
      <w:r w:rsidRPr="000D2FB1">
        <w:rPr>
          <w:rFonts w:ascii="Times New Roman" w:hAnsi="Times New Roman" w:cs="Times New Roman"/>
        </w:rPr>
        <w:t xml:space="preserve">S1 Manajemen </w:t>
      </w:r>
    </w:p>
    <w:p w:rsidR="008E18C6" w:rsidRPr="000D2FB1" w:rsidRDefault="008E18C6" w:rsidP="008E18C6">
      <w:pPr>
        <w:spacing w:after="0" w:line="240" w:lineRule="auto"/>
        <w:jc w:val="center"/>
        <w:rPr>
          <w:rFonts w:ascii="Times New Roman" w:hAnsi="Times New Roman" w:cs="Times New Roman"/>
        </w:rPr>
      </w:pPr>
      <w:r w:rsidRPr="000D2FB1">
        <w:rPr>
          <w:rFonts w:ascii="Times New Roman" w:hAnsi="Times New Roman" w:cs="Times New Roman"/>
        </w:rPr>
        <w:t>STIE EKUITAS</w:t>
      </w:r>
    </w:p>
    <w:p w:rsidR="008E18C6" w:rsidRPr="000D2FB1" w:rsidRDefault="008E18C6" w:rsidP="008E18C6">
      <w:pPr>
        <w:spacing w:after="0" w:line="240" w:lineRule="auto"/>
        <w:rPr>
          <w:rFonts w:ascii="Times New Roman" w:hAnsi="Times New Roman" w:cs="Times New Roman"/>
        </w:rPr>
      </w:pPr>
    </w:p>
    <w:p w:rsidR="008E18C6" w:rsidRPr="000D2FB1" w:rsidRDefault="00646F1E" w:rsidP="008E18C6">
      <w:pPr>
        <w:spacing w:line="240" w:lineRule="auto"/>
        <w:jc w:val="center"/>
        <w:rPr>
          <w:rFonts w:ascii="Times New Roman" w:hAnsi="Times New Roman" w:cs="Times New Roman"/>
          <w:b/>
          <w:i/>
        </w:rPr>
      </w:pPr>
      <w:r>
        <w:rPr>
          <w:rFonts w:ascii="Times New Roman" w:hAnsi="Times New Roman" w:cs="Times New Roman"/>
          <w:b/>
          <w:i/>
        </w:rPr>
        <w:t>ABSTRACT</w:t>
      </w:r>
    </w:p>
    <w:p w:rsidR="008E18C6" w:rsidRPr="000D2FB1" w:rsidRDefault="008E18C6" w:rsidP="008E18C6">
      <w:pPr>
        <w:spacing w:line="240" w:lineRule="auto"/>
        <w:jc w:val="both"/>
        <w:rPr>
          <w:rFonts w:ascii="Times New Roman" w:hAnsi="Times New Roman" w:cs="Times New Roman"/>
          <w:b/>
          <w:i/>
        </w:rPr>
      </w:pPr>
    </w:p>
    <w:p w:rsidR="008E18C6" w:rsidRPr="000D2FB1" w:rsidRDefault="008E18C6" w:rsidP="008E18C6">
      <w:pPr>
        <w:spacing w:after="0" w:line="240" w:lineRule="auto"/>
        <w:ind w:firstLine="720"/>
        <w:jc w:val="both"/>
        <w:rPr>
          <w:rFonts w:ascii="Times New Roman" w:hAnsi="Times New Roman" w:cs="Times New Roman"/>
          <w:i/>
        </w:rPr>
      </w:pPr>
      <w:r w:rsidRPr="000D2FB1">
        <w:rPr>
          <w:rFonts w:ascii="Times New Roman" w:hAnsi="Times New Roman" w:cs="Times New Roman"/>
          <w:i/>
        </w:rPr>
        <w:t xml:space="preserve">The research is to analyzed the influence of applying the policy Loan to Value (LTV) before and after the Bank Indonesian Regulation No. 11/25/PBI/2009 on the growth of peoperty loans (case study banks BCA, BTN, Mandiri, Panin). </w:t>
      </w:r>
    </w:p>
    <w:p w:rsidR="008E18C6" w:rsidRPr="000D2FB1" w:rsidRDefault="008E18C6" w:rsidP="008E18C6">
      <w:pPr>
        <w:spacing w:after="0" w:line="240" w:lineRule="auto"/>
        <w:ind w:firstLine="720"/>
        <w:jc w:val="both"/>
        <w:rPr>
          <w:rFonts w:ascii="Times New Roman" w:hAnsi="Times New Roman" w:cs="Times New Roman"/>
          <w:i/>
        </w:rPr>
      </w:pPr>
      <w:r w:rsidRPr="000D2FB1">
        <w:rPr>
          <w:rFonts w:ascii="Times New Roman" w:hAnsi="Times New Roman" w:cs="Times New Roman"/>
          <w:i/>
        </w:rPr>
        <w:t>The method used are descriptive and komparative methods, the techniques of data collection study of documentation, interviews and literature study.The design of hypothesis testing using the normality test and paired samples t-test (dependent).</w:t>
      </w:r>
    </w:p>
    <w:p w:rsidR="008E18C6" w:rsidRPr="000D2FB1" w:rsidRDefault="008E18C6" w:rsidP="008E18C6">
      <w:pPr>
        <w:spacing w:after="0" w:line="240" w:lineRule="auto"/>
        <w:ind w:firstLine="720"/>
        <w:jc w:val="both"/>
        <w:rPr>
          <w:rFonts w:ascii="Times New Roman" w:hAnsi="Times New Roman" w:cs="Times New Roman"/>
          <w:i/>
        </w:rPr>
      </w:pPr>
      <w:r w:rsidRPr="000D2FB1">
        <w:rPr>
          <w:rFonts w:ascii="Times New Roman" w:hAnsi="Times New Roman" w:cs="Times New Roman"/>
          <w:i/>
        </w:rPr>
        <w:t>Based on calculations paired samples t-test (dependent) showed no decline in average loan growth in Banks BCA for about 2,29 %, BTN decreased for about 3,80%, Mandiri decreased for about for about 2,85%, Panin decreased for about 10% after a policy Loan to Value (LTV) according to Bank Indonesian Regulation No. 11/25/PBI/2009 which is not significant. No difference significant growth in property loans before and after implementation of policies Loan to Value (LTV) according to Bank Indonesia Regulation No. 11/25 / PBI / 2009.So there is no influence of applying  the policy Loan to Value (LTV) before and after the Bank Indonesia Regulation No. 11/25 / PBI / 2009 on the growth of property loans.</w:t>
      </w:r>
    </w:p>
    <w:p w:rsidR="008E18C6" w:rsidRPr="000D2FB1" w:rsidRDefault="008E18C6" w:rsidP="008E18C6">
      <w:pPr>
        <w:spacing w:after="0" w:line="240" w:lineRule="auto"/>
        <w:ind w:firstLine="720"/>
        <w:jc w:val="both"/>
        <w:rPr>
          <w:rFonts w:ascii="Times New Roman" w:hAnsi="Times New Roman" w:cs="Times New Roman"/>
          <w:i/>
        </w:rPr>
      </w:pPr>
    </w:p>
    <w:p w:rsidR="008E18C6" w:rsidRPr="000D2FB1" w:rsidRDefault="008E18C6" w:rsidP="008E18C6">
      <w:pPr>
        <w:spacing w:after="0" w:line="240" w:lineRule="auto"/>
        <w:jc w:val="both"/>
        <w:rPr>
          <w:rFonts w:ascii="Times New Roman" w:hAnsi="Times New Roman" w:cs="Times New Roman"/>
          <w:b/>
        </w:rPr>
      </w:pPr>
    </w:p>
    <w:p w:rsidR="008E18C6" w:rsidRPr="000D2FB1" w:rsidRDefault="008E18C6" w:rsidP="008E18C6">
      <w:pPr>
        <w:spacing w:after="0" w:line="240" w:lineRule="auto"/>
        <w:jc w:val="both"/>
        <w:rPr>
          <w:rFonts w:ascii="Times New Roman" w:hAnsi="Times New Roman" w:cs="Times New Roman"/>
          <w:b/>
          <w:i/>
        </w:rPr>
      </w:pPr>
      <w:r w:rsidRPr="000D2FB1">
        <w:rPr>
          <w:rFonts w:ascii="Times New Roman" w:hAnsi="Times New Roman" w:cs="Times New Roman"/>
          <w:b/>
          <w:i/>
        </w:rPr>
        <w:t>Keywords: Loan to Value (LTV), The Growth of Property Loans.</w:t>
      </w: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b/>
        </w:rPr>
      </w:pPr>
      <w:r w:rsidRPr="000D2FB1">
        <w:rPr>
          <w:rFonts w:ascii="Times New Roman" w:hAnsi="Times New Roman" w:cs="Times New Roman"/>
          <w:b/>
        </w:rPr>
        <w:t>PENDAHULUAN</w:t>
      </w:r>
    </w:p>
    <w:p w:rsidR="008E18C6" w:rsidRPr="000D2FB1" w:rsidRDefault="008E18C6" w:rsidP="008E18C6">
      <w:pPr>
        <w:spacing w:after="0" w:line="240" w:lineRule="auto"/>
        <w:rPr>
          <w:rFonts w:ascii="Times New Roman" w:hAnsi="Times New Roman" w:cs="Times New Roman"/>
          <w:b/>
        </w:rPr>
      </w:pPr>
    </w:p>
    <w:p w:rsidR="008E18C6" w:rsidRPr="000D2FB1" w:rsidRDefault="008E18C6" w:rsidP="008E18C6">
      <w:pPr>
        <w:spacing w:after="0" w:line="240" w:lineRule="auto"/>
        <w:ind w:firstLine="567"/>
        <w:jc w:val="both"/>
        <w:rPr>
          <w:rFonts w:ascii="Times New Roman" w:hAnsi="Times New Roman" w:cs="Times New Roman"/>
        </w:rPr>
      </w:pPr>
      <w:r w:rsidRPr="000D2FB1">
        <w:rPr>
          <w:rFonts w:ascii="Times New Roman" w:hAnsi="Times New Roman" w:cs="Times New Roman"/>
        </w:rPr>
        <w:t>Era globalisasi dalam dunia perbankan menunjukkan peningkatan yang sangat tajam dalam pemberian kredit di industri properti, pertumbuhan perekonomian di suatu negara tidak terlepas dari peranan penting perbankan dalam bidang pembiayaan dan permodalan. Hal ini didasarkan atas fungsi utama bank yang merupakan lembaga intermediasi antara pihak yang kelebihan dana (</w:t>
      </w:r>
      <w:r w:rsidRPr="000D2FB1">
        <w:rPr>
          <w:rFonts w:ascii="Times New Roman" w:hAnsi="Times New Roman" w:cs="Times New Roman"/>
          <w:i/>
        </w:rPr>
        <w:t>surplus</w:t>
      </w:r>
      <w:r w:rsidRPr="000D2FB1">
        <w:rPr>
          <w:rFonts w:ascii="Times New Roman" w:hAnsi="Times New Roman" w:cs="Times New Roman"/>
        </w:rPr>
        <w:t>) dengan pihak kekurangan dana (</w:t>
      </w:r>
      <w:r w:rsidRPr="000D2FB1">
        <w:rPr>
          <w:rFonts w:ascii="Times New Roman" w:hAnsi="Times New Roman" w:cs="Times New Roman"/>
          <w:i/>
        </w:rPr>
        <w:t>deficit</w:t>
      </w:r>
      <w:r w:rsidRPr="000D2FB1">
        <w:rPr>
          <w:rFonts w:ascii="Times New Roman" w:hAnsi="Times New Roman" w:cs="Times New Roman"/>
        </w:rPr>
        <w:t>).</w:t>
      </w:r>
    </w:p>
    <w:p w:rsidR="008E18C6" w:rsidRPr="000D2FB1" w:rsidRDefault="008E18C6" w:rsidP="008E18C6">
      <w:pPr>
        <w:spacing w:after="0" w:line="240" w:lineRule="auto"/>
        <w:ind w:firstLine="567"/>
        <w:jc w:val="both"/>
        <w:rPr>
          <w:rFonts w:ascii="Times New Roman" w:hAnsi="Times New Roman" w:cs="Times New Roman"/>
        </w:rPr>
      </w:pPr>
      <w:r w:rsidRPr="000D2FB1">
        <w:rPr>
          <w:rFonts w:ascii="Times New Roman" w:hAnsi="Times New Roman" w:cs="Times New Roman"/>
        </w:rPr>
        <w:t>Bank mempunyai peranan penting dalam berbagai sektor pembangunan, termasuk sektor properti di Indonesia. Kebutuhan akan rumah tinggal dewasa ini semakin meningkat dan diikuti dengan harga dari waktu ke waktu yang cenderung meningkat pula. Semakin tingginya permintaan Kredit Pemilikan Rumah di Indonesia, mengakibatkan harga properti yang tidak mencerminkan harga sebenarnya (</w:t>
      </w:r>
      <w:r w:rsidRPr="000D2FB1">
        <w:rPr>
          <w:rFonts w:ascii="Times New Roman" w:hAnsi="Times New Roman" w:cs="Times New Roman"/>
          <w:i/>
        </w:rPr>
        <w:t>bubble</w:t>
      </w:r>
      <w:r w:rsidRPr="000D2FB1">
        <w:rPr>
          <w:rFonts w:ascii="Times New Roman" w:hAnsi="Times New Roman" w:cs="Times New Roman"/>
        </w:rPr>
        <w:t xml:space="preserve">) sehingga dapat meningkatkan risiko kredit bagi bank yang memiliki </w:t>
      </w:r>
      <w:r w:rsidRPr="000D2FB1">
        <w:rPr>
          <w:rFonts w:ascii="Times New Roman" w:hAnsi="Times New Roman" w:cs="Times New Roman"/>
          <w:i/>
        </w:rPr>
        <w:t>eksposur</w:t>
      </w:r>
      <w:r w:rsidRPr="000D2FB1">
        <w:rPr>
          <w:rFonts w:ascii="Times New Roman" w:hAnsi="Times New Roman" w:cs="Times New Roman"/>
        </w:rPr>
        <w:t xml:space="preserve"> pembiayaan properti yang besar. </w:t>
      </w:r>
    </w:p>
    <w:p w:rsidR="008E18C6" w:rsidRPr="000D2FB1" w:rsidRDefault="008E18C6" w:rsidP="008E18C6">
      <w:pPr>
        <w:spacing w:after="0" w:line="240" w:lineRule="auto"/>
        <w:ind w:firstLine="567"/>
        <w:jc w:val="both"/>
        <w:rPr>
          <w:rFonts w:ascii="Times New Roman" w:hAnsi="Times New Roman" w:cs="Times New Roman"/>
        </w:rPr>
      </w:pPr>
      <w:r w:rsidRPr="000D2FB1">
        <w:rPr>
          <w:rFonts w:ascii="Times New Roman" w:hAnsi="Times New Roman" w:cs="Times New Roman"/>
          <w:shd w:val="clear" w:color="auto" w:fill="FFFFFF"/>
        </w:rPr>
        <w:t xml:space="preserve">Seperti krisis global tahun 2008 yang berawal dari krisis keuangan Amerika Serikat yang terjadi karena banyaknya </w:t>
      </w:r>
      <w:r w:rsidRPr="000D2FB1">
        <w:rPr>
          <w:rFonts w:ascii="Times New Roman" w:hAnsi="Times New Roman" w:cs="Times New Roman"/>
          <w:i/>
          <w:iCs/>
          <w:shd w:val="clear" w:color="auto" w:fill="FFFFFF"/>
        </w:rPr>
        <w:t>default payment</w:t>
      </w:r>
      <w:r w:rsidRPr="000D2FB1">
        <w:rPr>
          <w:rStyle w:val="apple-converted-space"/>
          <w:rFonts w:ascii="Times New Roman" w:hAnsi="Times New Roman" w:cs="Times New Roman"/>
          <w:shd w:val="clear" w:color="auto" w:fill="FFFFFF"/>
        </w:rPr>
        <w:t> </w:t>
      </w:r>
      <w:r w:rsidRPr="000D2FB1">
        <w:rPr>
          <w:rFonts w:ascii="Times New Roman" w:hAnsi="Times New Roman" w:cs="Times New Roman"/>
          <w:shd w:val="clear" w:color="auto" w:fill="FFFFFF"/>
        </w:rPr>
        <w:t xml:space="preserve">dari instrumen </w:t>
      </w:r>
      <w:r w:rsidRPr="000D2FB1">
        <w:rPr>
          <w:rFonts w:ascii="Times New Roman" w:hAnsi="Times New Roman" w:cs="Times New Roman"/>
          <w:i/>
          <w:iCs/>
          <w:shd w:val="clear" w:color="auto" w:fill="FFFFFF"/>
        </w:rPr>
        <w:t>credit default swap</w:t>
      </w:r>
      <w:r w:rsidRPr="000D2FB1">
        <w:rPr>
          <w:rStyle w:val="apple-converted-space"/>
          <w:rFonts w:ascii="Times New Roman" w:hAnsi="Times New Roman" w:cs="Times New Roman"/>
          <w:shd w:val="clear" w:color="auto" w:fill="FFFFFF"/>
        </w:rPr>
        <w:t> </w:t>
      </w:r>
      <w:r w:rsidRPr="000D2FB1">
        <w:rPr>
          <w:rFonts w:ascii="Times New Roman" w:hAnsi="Times New Roman" w:cs="Times New Roman"/>
          <w:shd w:val="clear" w:color="auto" w:fill="FFFFFF"/>
        </w:rPr>
        <w:t xml:space="preserve">di pasar keuangan Amerika. </w:t>
      </w:r>
      <w:r w:rsidRPr="000D2FB1">
        <w:rPr>
          <w:rFonts w:ascii="Times New Roman" w:hAnsi="Times New Roman" w:cs="Times New Roman"/>
        </w:rPr>
        <w:t xml:space="preserve">Krisis global tersebut terjadi karena adanya praktik </w:t>
      </w:r>
      <w:r w:rsidRPr="000D2FB1">
        <w:rPr>
          <w:rFonts w:ascii="Times New Roman" w:hAnsi="Times New Roman" w:cs="Times New Roman"/>
          <w:i/>
          <w:iCs/>
        </w:rPr>
        <w:t>subprime mortgage</w:t>
      </w:r>
      <w:r w:rsidRPr="000D2FB1">
        <w:rPr>
          <w:rFonts w:ascii="Times New Roman" w:hAnsi="Times New Roman" w:cs="Times New Roman"/>
        </w:rPr>
        <w:t xml:space="preserve">. </w:t>
      </w:r>
      <w:r w:rsidRPr="000D2FB1">
        <w:rPr>
          <w:rFonts w:ascii="Times New Roman" w:hAnsi="Times New Roman" w:cs="Times New Roman"/>
          <w:i/>
          <w:iCs/>
        </w:rPr>
        <w:t xml:space="preserve">Subprime Mortgage </w:t>
      </w:r>
      <w:r w:rsidRPr="000D2FB1">
        <w:rPr>
          <w:rFonts w:ascii="Times New Roman" w:hAnsi="Times New Roman" w:cs="Times New Roman"/>
        </w:rPr>
        <w:t>merupakan istilah untuk kredit perumahan (</w:t>
      </w:r>
      <w:r w:rsidRPr="000D2FB1">
        <w:rPr>
          <w:rFonts w:ascii="Times New Roman" w:hAnsi="Times New Roman" w:cs="Times New Roman"/>
          <w:i/>
          <w:iCs/>
        </w:rPr>
        <w:t>mortgage</w:t>
      </w:r>
      <w:r w:rsidRPr="000D2FB1">
        <w:rPr>
          <w:rFonts w:ascii="Times New Roman" w:hAnsi="Times New Roman" w:cs="Times New Roman"/>
        </w:rPr>
        <w:t xml:space="preserve">) yang diberikan kepada debitur dengan sejarah yang buruk atau belum memiliki sejarah sama sekali sehingga digolongkan </w:t>
      </w:r>
      <w:r w:rsidRPr="000D2FB1">
        <w:rPr>
          <w:rFonts w:ascii="Times New Roman" w:hAnsi="Times New Roman" w:cs="Times New Roman"/>
          <w:shd w:val="clear" w:color="auto" w:fill="FFFFFF"/>
        </w:rPr>
        <w:t>kredit yang berisiko tinggi</w:t>
      </w:r>
      <w:r w:rsidRPr="000D2FB1">
        <w:rPr>
          <w:rFonts w:ascii="Times New Roman" w:hAnsi="Times New Roman" w:cs="Times New Roman"/>
        </w:rPr>
        <w:t xml:space="preserve"> yang akan menimbulkan terjadinya resiko kredit yaitu NPL (</w:t>
      </w:r>
      <w:r w:rsidRPr="000D2FB1">
        <w:rPr>
          <w:rFonts w:ascii="Times New Roman" w:hAnsi="Times New Roman" w:cs="Times New Roman"/>
          <w:i/>
          <w:iCs/>
        </w:rPr>
        <w:t>Non Performing Loan</w:t>
      </w:r>
      <w:r w:rsidRPr="000D2FB1">
        <w:rPr>
          <w:rFonts w:ascii="Times New Roman" w:hAnsi="Times New Roman" w:cs="Times New Roman"/>
        </w:rPr>
        <w:t>) yang terlalu besar dan menghancurkan perekonomian.</w:t>
      </w:r>
    </w:p>
    <w:p w:rsidR="008E18C6" w:rsidRPr="000D2FB1" w:rsidRDefault="008E18C6" w:rsidP="008E18C6">
      <w:pPr>
        <w:spacing w:after="0" w:line="240" w:lineRule="auto"/>
        <w:ind w:firstLine="567"/>
        <w:jc w:val="both"/>
        <w:rPr>
          <w:rFonts w:ascii="Times New Roman" w:hAnsi="Times New Roman" w:cs="Times New Roman"/>
        </w:rPr>
      </w:pPr>
      <w:r w:rsidRPr="000D2FB1">
        <w:rPr>
          <w:rFonts w:ascii="Times New Roman" w:hAnsi="Times New Roman" w:cs="Times New Roman"/>
        </w:rPr>
        <w:lastRenderedPageBreak/>
        <w:t xml:space="preserve">Untuk mencegah kasus tersebut agar tidak terjadi di Indonesia maka Bank Indonesia (BI) mengeluarkan Peraturan Bank Indonesia No. 11/25/PBI/2009 tentang Penerapan Manajemen Risiko Bagi Bank Umum. Penerapan manajemen risiko tersebut diantaranya mengatur tentang kebijakan </w:t>
      </w:r>
      <w:r w:rsidRPr="000D2FB1">
        <w:rPr>
          <w:rFonts w:ascii="Times New Roman" w:hAnsi="Times New Roman" w:cs="Times New Roman"/>
          <w:i/>
        </w:rPr>
        <w:t>Loan to Value</w:t>
      </w:r>
      <w:r w:rsidRPr="000D2FB1">
        <w:rPr>
          <w:rFonts w:ascii="Times New Roman" w:hAnsi="Times New Roman" w:cs="Times New Roman"/>
        </w:rPr>
        <w:t xml:space="preserve"> (LTV) untuk Kredit Pemilikan Properti (KPP) dan </w:t>
      </w:r>
      <w:r w:rsidRPr="000D2FB1">
        <w:rPr>
          <w:rFonts w:ascii="Times New Roman" w:hAnsi="Times New Roman" w:cs="Times New Roman"/>
          <w:i/>
        </w:rPr>
        <w:t xml:space="preserve">Down Payment </w:t>
      </w:r>
      <w:r w:rsidRPr="000D2FB1">
        <w:rPr>
          <w:rFonts w:ascii="Times New Roman" w:hAnsi="Times New Roman" w:cs="Times New Roman"/>
        </w:rPr>
        <w:t>untuk Kredit Kendaraan Bermotor (KKB) melalui Surat Edaran Bank Indonesia.</w:t>
      </w:r>
    </w:p>
    <w:p w:rsidR="008E18C6" w:rsidRPr="000D2FB1" w:rsidRDefault="008E18C6" w:rsidP="008E18C6">
      <w:pPr>
        <w:autoSpaceDE w:val="0"/>
        <w:autoSpaceDN w:val="0"/>
        <w:adjustRightInd w:val="0"/>
        <w:spacing w:after="0" w:line="240" w:lineRule="auto"/>
        <w:ind w:firstLine="567"/>
        <w:jc w:val="both"/>
        <w:rPr>
          <w:rFonts w:ascii="Times New Roman" w:hAnsi="Times New Roman" w:cs="Times New Roman"/>
        </w:rPr>
      </w:pPr>
      <w:r w:rsidRPr="000D2FB1">
        <w:rPr>
          <w:rFonts w:ascii="Times New Roman" w:hAnsi="Times New Roman" w:cs="Times New Roman"/>
        </w:rPr>
        <w:t>Alasan pemerintah yang mendasari terbitnya aturan tersebut, seperti yang dituangkan dalam Surat Edaran Bank Indonesia No. 15/40/DKMP tersebut adalah tingginya pertumbuhan kredit atau pembiayaan pemilikan properti yang berpotensi menimbulkan berbagai risiko sehingga bank perlu meningkatkan kehati-hatian dalam penyaluran kredit. Kedua, pertumbuhan kredit pemilikan properti yang terlalu tinggi dapat mendorong peningkatan harga aset properti yang tidak mencerminkan harga yang sebenarnya. Ketiga, dalam rangka menjaga perekonomian yang produktif dan mampu menghadapi tantangan di sektor keuangan. Keempat, kebijakan dalam rangka meningkatkan kehati-hatian bank dalam pemberian kredit pemilikan properti.</w:t>
      </w:r>
    </w:p>
    <w:p w:rsidR="00BF34CC" w:rsidRPr="000D2FB1" w:rsidRDefault="00BF34CC" w:rsidP="00BF34CC">
      <w:pPr>
        <w:tabs>
          <w:tab w:val="left" w:pos="7513"/>
        </w:tabs>
        <w:spacing w:after="0" w:line="240" w:lineRule="auto"/>
        <w:ind w:firstLine="720"/>
        <w:jc w:val="both"/>
        <w:textAlignment w:val="baseline"/>
        <w:rPr>
          <w:rFonts w:ascii="Times New Roman" w:hAnsi="Times New Roman" w:cs="Times New Roman"/>
          <w:sz w:val="24"/>
          <w:szCs w:val="24"/>
        </w:rPr>
      </w:pPr>
      <w:r w:rsidRPr="000D2FB1">
        <w:rPr>
          <w:rFonts w:ascii="Times New Roman" w:eastAsia="Times New Roman" w:hAnsi="Times New Roman" w:cs="Times New Roman"/>
          <w:lang w:eastAsia="id-ID"/>
        </w:rPr>
        <w:t xml:space="preserve">Dengan adanya penerapan kebijakan </w:t>
      </w:r>
      <w:r w:rsidRPr="000D2FB1">
        <w:rPr>
          <w:rFonts w:ascii="Times New Roman" w:hAnsi="Times New Roman" w:cs="Times New Roman"/>
          <w:i/>
        </w:rPr>
        <w:t>Loan to Value</w:t>
      </w:r>
      <w:r w:rsidRPr="000D2FB1">
        <w:rPr>
          <w:rFonts w:ascii="Times New Roman" w:hAnsi="Times New Roman" w:cs="Times New Roman"/>
        </w:rPr>
        <w:t xml:space="preserve"> (LTV) dan </w:t>
      </w:r>
      <w:r w:rsidRPr="000D2FB1">
        <w:rPr>
          <w:rFonts w:ascii="Times New Roman" w:hAnsi="Times New Roman" w:cs="Times New Roman"/>
          <w:i/>
        </w:rPr>
        <w:t xml:space="preserve">Down Payment </w:t>
      </w:r>
      <w:r w:rsidRPr="000D2FB1">
        <w:rPr>
          <w:rFonts w:ascii="Times New Roman" w:hAnsi="Times New Roman" w:cs="Times New Roman"/>
        </w:rPr>
        <w:t>(DP) tersebut diharapkan akan berdampak pada volume penjualan baik penjualan unit rumah maupun penjualan unit motor. Hal tersebut disebabkan karena menurunnya daya beli konsumen akibat meningkatnya pembayaran uang muka. Penurunan penjualan tersebut juga memberikan efek beruntun pada sektor perbankan sebagai penyedia layanan Kredit Pemilikan Properti (KPP) dan Kredit Kendaraan Bermotor (KKB). Jika penjualan Kredit Pemilikan Properti (KPP) mengalami penurunan maka pertumbuhan kredit ikut mengalami penurunan</w:t>
      </w:r>
      <w:r w:rsidRPr="000D2FB1">
        <w:rPr>
          <w:rFonts w:ascii="Times New Roman" w:hAnsi="Times New Roman" w:cs="Times New Roman"/>
          <w:sz w:val="24"/>
          <w:szCs w:val="24"/>
        </w:rPr>
        <w:t>.</w:t>
      </w:r>
    </w:p>
    <w:p w:rsidR="00BF34CC" w:rsidRPr="000D2FB1" w:rsidRDefault="00BF34CC" w:rsidP="00BF34CC">
      <w:pPr>
        <w:autoSpaceDE w:val="0"/>
        <w:autoSpaceDN w:val="0"/>
        <w:adjustRightInd w:val="0"/>
        <w:spacing w:after="0" w:line="240" w:lineRule="auto"/>
        <w:jc w:val="both"/>
        <w:rPr>
          <w:rFonts w:ascii="Times New Roman" w:hAnsi="Times New Roman" w:cs="Times New Roman"/>
        </w:rPr>
      </w:pPr>
    </w:p>
    <w:p w:rsidR="00BF34CC" w:rsidRPr="000D2FB1" w:rsidRDefault="00BF34CC" w:rsidP="00BF34CC">
      <w:pPr>
        <w:autoSpaceDE w:val="0"/>
        <w:autoSpaceDN w:val="0"/>
        <w:adjustRightInd w:val="0"/>
        <w:spacing w:after="0" w:line="240" w:lineRule="auto"/>
        <w:jc w:val="both"/>
        <w:rPr>
          <w:rFonts w:ascii="Times New Roman" w:hAnsi="Times New Roman" w:cs="Times New Roman"/>
        </w:rPr>
      </w:pPr>
    </w:p>
    <w:p w:rsidR="00BF34CC" w:rsidRPr="000D2FB1" w:rsidRDefault="00BF34CC" w:rsidP="00BF34CC">
      <w:pPr>
        <w:autoSpaceDE w:val="0"/>
        <w:autoSpaceDN w:val="0"/>
        <w:adjustRightInd w:val="0"/>
        <w:spacing w:after="0" w:line="240" w:lineRule="auto"/>
        <w:jc w:val="both"/>
        <w:rPr>
          <w:rFonts w:ascii="Times New Roman" w:hAnsi="Times New Roman" w:cs="Times New Roman"/>
          <w:b/>
        </w:rPr>
      </w:pPr>
      <w:r w:rsidRPr="000D2FB1">
        <w:rPr>
          <w:rFonts w:ascii="Times New Roman" w:hAnsi="Times New Roman" w:cs="Times New Roman"/>
          <w:b/>
        </w:rPr>
        <w:t>KAJIAN LITERATUR</w:t>
      </w:r>
    </w:p>
    <w:p w:rsidR="00BF34CC" w:rsidRPr="000D2FB1" w:rsidRDefault="00BF34CC" w:rsidP="00BF34CC">
      <w:pPr>
        <w:autoSpaceDE w:val="0"/>
        <w:autoSpaceDN w:val="0"/>
        <w:adjustRightInd w:val="0"/>
        <w:spacing w:after="0" w:line="240" w:lineRule="auto"/>
        <w:jc w:val="both"/>
        <w:rPr>
          <w:rFonts w:ascii="Times New Roman" w:hAnsi="Times New Roman" w:cs="Times New Roman"/>
          <w:b/>
        </w:rPr>
      </w:pPr>
    </w:p>
    <w:p w:rsidR="00BF34CC" w:rsidRPr="000D2FB1" w:rsidRDefault="00BF34CC" w:rsidP="00BF34CC">
      <w:pPr>
        <w:tabs>
          <w:tab w:val="left" w:pos="567"/>
        </w:tabs>
        <w:spacing w:after="0" w:line="240" w:lineRule="auto"/>
        <w:jc w:val="both"/>
        <w:rPr>
          <w:rFonts w:ascii="Times New Roman" w:hAnsi="Times New Roman" w:cs="Times New Roman"/>
          <w:b/>
        </w:rPr>
      </w:pPr>
      <w:r w:rsidRPr="000D2FB1">
        <w:rPr>
          <w:rFonts w:ascii="Times New Roman" w:hAnsi="Times New Roman" w:cs="Times New Roman"/>
          <w:b/>
        </w:rPr>
        <w:t>Pengertian Bank</w:t>
      </w:r>
    </w:p>
    <w:p w:rsidR="00BF34CC" w:rsidRPr="000D2FB1" w:rsidRDefault="00BF34CC" w:rsidP="00BF34CC">
      <w:pPr>
        <w:spacing w:after="0" w:line="240" w:lineRule="auto"/>
        <w:ind w:firstLine="720"/>
        <w:jc w:val="both"/>
        <w:rPr>
          <w:rFonts w:ascii="Times New Roman" w:hAnsi="Times New Roman" w:cs="Times New Roman"/>
        </w:rPr>
      </w:pPr>
      <w:r w:rsidRPr="000D2FB1">
        <w:rPr>
          <w:rFonts w:ascii="Times New Roman" w:hAnsi="Times New Roman" w:cs="Times New Roman"/>
        </w:rPr>
        <w:t>Pengertian bank sering disamakan dengan pengertian perbankan. Padahal dua hal yang sangat berbeda. Bank hanya mencakup aspek kelembagaan. Atas Menurut Undang-Undang Nomor 10 Tahun 1998 (revisi Undang-Undang Nomor 7 Tahun 1992) bahwa yang dimaksud bank adalah badan usaha yang menghimpun dana dari masyarakat dalam bentuk simpanan dan menyalurkannyakepada masyarakat dalam bentuk kredit dan atau bentuk-bentuk lainnya dalam rangka meningkatkan taraf hiduprakyat banyak.</w:t>
      </w:r>
    </w:p>
    <w:p w:rsidR="00BF34CC" w:rsidRPr="000D2FB1" w:rsidRDefault="00BF34CC" w:rsidP="00BF34CC">
      <w:pPr>
        <w:spacing w:after="0" w:line="240" w:lineRule="auto"/>
        <w:ind w:firstLine="720"/>
        <w:jc w:val="both"/>
        <w:rPr>
          <w:rFonts w:ascii="Times New Roman" w:hAnsi="Times New Roman" w:cs="Times New Roman"/>
        </w:rPr>
      </w:pPr>
      <w:r w:rsidRPr="000D2FB1">
        <w:rPr>
          <w:rFonts w:ascii="Times New Roman" w:hAnsi="Times New Roman" w:cs="Times New Roman"/>
        </w:rPr>
        <w:t>Menurut Taswan (2010:6) bank adalah sebuah lembaga atau perusahaan yang aktivitasnya menghimpun dana berupa giro, deposito tabungan dan simpanan yang lain dari pihak yang kelebihan dana (</w:t>
      </w:r>
      <w:r w:rsidRPr="000D2FB1">
        <w:rPr>
          <w:rFonts w:ascii="Times New Roman" w:hAnsi="Times New Roman" w:cs="Times New Roman"/>
          <w:i/>
        </w:rPr>
        <w:t>surplus spending unit</w:t>
      </w:r>
      <w:r w:rsidRPr="000D2FB1">
        <w:rPr>
          <w:rFonts w:ascii="Times New Roman" w:hAnsi="Times New Roman" w:cs="Times New Roman"/>
        </w:rPr>
        <w:t>) kemudian menempatkannya kembali kepada masyarakat yang membutuhkan dana</w:t>
      </w:r>
      <w:bookmarkStart w:id="0" w:name="_GoBack"/>
      <w:bookmarkEnd w:id="0"/>
      <w:r w:rsidRPr="000D2FB1">
        <w:rPr>
          <w:rFonts w:ascii="Times New Roman" w:hAnsi="Times New Roman" w:cs="Times New Roman"/>
        </w:rPr>
        <w:t xml:space="preserve"> (</w:t>
      </w:r>
      <w:r w:rsidRPr="000D2FB1">
        <w:rPr>
          <w:rFonts w:ascii="Times New Roman" w:hAnsi="Times New Roman" w:cs="Times New Roman"/>
          <w:i/>
        </w:rPr>
        <w:t>deficit spending unit</w:t>
      </w:r>
      <w:r w:rsidRPr="000D2FB1">
        <w:rPr>
          <w:rFonts w:ascii="Times New Roman" w:hAnsi="Times New Roman" w:cs="Times New Roman"/>
        </w:rPr>
        <w:t>) melalui penjualan jasa keuangan yang pada gilirannya dapat meningkatkan kesejahteraan rakyat banyak.</w:t>
      </w:r>
    </w:p>
    <w:p w:rsidR="00BF34CC" w:rsidRPr="000D2FB1" w:rsidRDefault="00BF34CC" w:rsidP="00BF34CC">
      <w:pPr>
        <w:spacing w:after="0" w:line="240" w:lineRule="auto"/>
        <w:ind w:firstLine="720"/>
        <w:jc w:val="both"/>
        <w:rPr>
          <w:rFonts w:ascii="Times New Roman" w:hAnsi="Times New Roman" w:cs="Times New Roman"/>
        </w:rPr>
      </w:pPr>
      <w:r w:rsidRPr="000D2FB1">
        <w:rPr>
          <w:rFonts w:ascii="Times New Roman" w:hAnsi="Times New Roman" w:cs="Times New Roman"/>
        </w:rPr>
        <w:t>Menurut Kasmir (2012:24) bank adalah perusahaan yang bergerak dalam bidang keuangan, artinya aktivitas perbankan selalu berkaitan dalam bidang keuangan.</w:t>
      </w:r>
    </w:p>
    <w:p w:rsidR="00BF34CC" w:rsidRPr="000D2FB1" w:rsidRDefault="00BF34CC" w:rsidP="00BF34CC">
      <w:pPr>
        <w:autoSpaceDE w:val="0"/>
        <w:autoSpaceDN w:val="0"/>
        <w:adjustRightInd w:val="0"/>
        <w:spacing w:after="0" w:line="240" w:lineRule="auto"/>
        <w:jc w:val="both"/>
        <w:rPr>
          <w:rFonts w:ascii="Times New Roman" w:hAnsi="Times New Roman" w:cs="Times New Roman"/>
          <w:b/>
        </w:rPr>
      </w:pPr>
    </w:p>
    <w:p w:rsidR="00E43833" w:rsidRPr="000D2FB1" w:rsidRDefault="00E43833" w:rsidP="00E43833">
      <w:pPr>
        <w:spacing w:after="0" w:line="480" w:lineRule="auto"/>
        <w:jc w:val="both"/>
        <w:rPr>
          <w:rFonts w:ascii="Times New Roman" w:hAnsi="Times New Roman" w:cs="Times New Roman"/>
          <w:b/>
          <w:sz w:val="24"/>
          <w:szCs w:val="24"/>
        </w:rPr>
      </w:pPr>
      <w:r w:rsidRPr="000D2FB1">
        <w:rPr>
          <w:rFonts w:ascii="Times New Roman" w:hAnsi="Times New Roman" w:cs="Times New Roman"/>
          <w:b/>
          <w:sz w:val="24"/>
          <w:szCs w:val="24"/>
        </w:rPr>
        <w:t>Asas, Fungsi, dan Tujuan Perbankan</w:t>
      </w:r>
    </w:p>
    <w:p w:rsidR="00E43833" w:rsidRPr="000D2FB1" w:rsidRDefault="00E43833" w:rsidP="00E43833">
      <w:pPr>
        <w:spacing w:after="0" w:line="240" w:lineRule="auto"/>
        <w:jc w:val="both"/>
        <w:rPr>
          <w:rFonts w:ascii="Times New Roman" w:hAnsi="Times New Roman" w:cs="Times New Roman"/>
        </w:rPr>
      </w:pPr>
      <w:r w:rsidRPr="000D2FB1">
        <w:rPr>
          <w:rFonts w:ascii="Times New Roman" w:hAnsi="Times New Roman" w:cs="Times New Roman"/>
          <w:b/>
        </w:rPr>
        <w:tab/>
      </w:r>
      <w:r w:rsidRPr="000D2FB1">
        <w:rPr>
          <w:rFonts w:ascii="Times New Roman" w:hAnsi="Times New Roman" w:cs="Times New Roman"/>
        </w:rPr>
        <w:t>Asas, fungsi dan tujuan bank menurut Undang-Undang Nomor 7 tahun 1992 tentang Perbankan, yang telah diubah dengan Undang-Undang Nomor 10 tahun 1998 adalah:</w:t>
      </w:r>
    </w:p>
    <w:p w:rsidR="00E43833" w:rsidRPr="000D2FB1" w:rsidRDefault="00E43833" w:rsidP="00E43833">
      <w:pPr>
        <w:pStyle w:val="ListParagraph"/>
        <w:numPr>
          <w:ilvl w:val="0"/>
          <w:numId w:val="1"/>
        </w:numPr>
        <w:spacing w:after="0" w:line="240" w:lineRule="auto"/>
        <w:jc w:val="both"/>
        <w:rPr>
          <w:rFonts w:ascii="Times New Roman" w:hAnsi="Times New Roman" w:cs="Times New Roman"/>
        </w:rPr>
      </w:pPr>
      <w:r w:rsidRPr="000D2FB1">
        <w:rPr>
          <w:rFonts w:ascii="Times New Roman" w:hAnsi="Times New Roman" w:cs="Times New Roman"/>
        </w:rPr>
        <w:t>Asas Bank</w:t>
      </w:r>
    </w:p>
    <w:p w:rsidR="00E43833" w:rsidRPr="000D2FB1" w:rsidRDefault="00E43833" w:rsidP="00E43833">
      <w:pPr>
        <w:pStyle w:val="ListParagraph"/>
        <w:spacing w:after="0" w:line="240" w:lineRule="auto"/>
        <w:jc w:val="both"/>
        <w:rPr>
          <w:rFonts w:ascii="Times New Roman" w:hAnsi="Times New Roman" w:cs="Times New Roman"/>
        </w:rPr>
      </w:pPr>
      <w:r w:rsidRPr="000D2FB1">
        <w:rPr>
          <w:rFonts w:ascii="Times New Roman" w:hAnsi="Times New Roman" w:cs="Times New Roman"/>
        </w:rPr>
        <w:t>Perbankan Indonesia dalam melaksanakan kegiatan usahanya berasaskan demokrasi ekonomi dengan menggunakan prinsip kehati-hatian. Yang dimaksud demokrasi ekonomi adalah ekonomi yang berdasarkan pancasila dan Undang-Undang Dasar 19945.</w:t>
      </w:r>
    </w:p>
    <w:p w:rsidR="00E43833" w:rsidRPr="000D2FB1" w:rsidRDefault="00E43833" w:rsidP="00E43833">
      <w:pPr>
        <w:pStyle w:val="ListParagraph"/>
        <w:numPr>
          <w:ilvl w:val="0"/>
          <w:numId w:val="1"/>
        </w:numPr>
        <w:spacing w:after="0" w:line="240" w:lineRule="auto"/>
        <w:jc w:val="both"/>
        <w:rPr>
          <w:rFonts w:ascii="Times New Roman" w:hAnsi="Times New Roman" w:cs="Times New Roman"/>
        </w:rPr>
      </w:pPr>
      <w:r w:rsidRPr="000D2FB1">
        <w:rPr>
          <w:rFonts w:ascii="Times New Roman" w:hAnsi="Times New Roman" w:cs="Times New Roman"/>
        </w:rPr>
        <w:t>Fungsi Bank</w:t>
      </w:r>
    </w:p>
    <w:p w:rsidR="00E43833" w:rsidRPr="000D2FB1" w:rsidRDefault="00E43833" w:rsidP="00E43833">
      <w:pPr>
        <w:pStyle w:val="ListParagraph"/>
        <w:spacing w:after="0" w:line="240" w:lineRule="auto"/>
        <w:jc w:val="both"/>
        <w:rPr>
          <w:rFonts w:ascii="Times New Roman" w:hAnsi="Times New Roman" w:cs="Times New Roman"/>
        </w:rPr>
      </w:pPr>
      <w:r w:rsidRPr="000D2FB1">
        <w:rPr>
          <w:rFonts w:ascii="Times New Roman" w:hAnsi="Times New Roman" w:cs="Times New Roman"/>
        </w:rPr>
        <w:t xml:space="preserve">Fungsi utama perbankan Indonesia adalah sebagai penghimpunan dana dan penyaluran dana masyarakat. Fungsi umum bank adalah menghimpun dana dan menyalurkan kembali kepada masyarakat sebagai </w:t>
      </w:r>
      <w:r w:rsidRPr="000D2FB1">
        <w:rPr>
          <w:rFonts w:ascii="Times New Roman" w:hAnsi="Times New Roman" w:cs="Times New Roman"/>
          <w:i/>
        </w:rPr>
        <w:t>financial intermediary</w:t>
      </w:r>
      <w:r w:rsidRPr="000D2FB1">
        <w:rPr>
          <w:rFonts w:ascii="Times New Roman" w:hAnsi="Times New Roman" w:cs="Times New Roman"/>
        </w:rPr>
        <w:t>.</w:t>
      </w:r>
    </w:p>
    <w:p w:rsidR="00E43833" w:rsidRPr="000D2FB1" w:rsidRDefault="00E43833" w:rsidP="00E43833">
      <w:pPr>
        <w:pStyle w:val="ListParagraph"/>
        <w:numPr>
          <w:ilvl w:val="0"/>
          <w:numId w:val="1"/>
        </w:numPr>
        <w:spacing w:after="0" w:line="240" w:lineRule="auto"/>
        <w:jc w:val="both"/>
        <w:rPr>
          <w:rFonts w:ascii="Times New Roman" w:hAnsi="Times New Roman" w:cs="Times New Roman"/>
        </w:rPr>
      </w:pPr>
      <w:r w:rsidRPr="000D2FB1">
        <w:rPr>
          <w:rFonts w:ascii="Times New Roman" w:hAnsi="Times New Roman" w:cs="Times New Roman"/>
        </w:rPr>
        <w:lastRenderedPageBreak/>
        <w:t xml:space="preserve">Tujuan </w:t>
      </w:r>
    </w:p>
    <w:p w:rsidR="00E43833" w:rsidRPr="000D2FB1" w:rsidRDefault="00E43833" w:rsidP="00E43833">
      <w:pPr>
        <w:pStyle w:val="ListParagraph"/>
        <w:spacing w:after="0" w:line="240" w:lineRule="auto"/>
        <w:jc w:val="both"/>
        <w:rPr>
          <w:rFonts w:ascii="Times New Roman" w:hAnsi="Times New Roman" w:cs="Times New Roman"/>
        </w:rPr>
      </w:pPr>
      <w:r w:rsidRPr="000D2FB1">
        <w:rPr>
          <w:rFonts w:ascii="Times New Roman" w:hAnsi="Times New Roman" w:cs="Times New Roman"/>
        </w:rPr>
        <w:t>Perbankan Indonesia bertujuan menunjang pelaksanaan pembangunan nasional dalam rangka meningkatkan pemerataan, pertumbuhan ekonomi, dan stabilitas nasional ke arah peningkatan rakyat banyak.</w:t>
      </w:r>
    </w:p>
    <w:p w:rsidR="00E43833" w:rsidRPr="000D2FB1" w:rsidRDefault="00E43833" w:rsidP="00E43833">
      <w:pPr>
        <w:pStyle w:val="ListParagraph"/>
        <w:spacing w:after="0" w:line="240" w:lineRule="auto"/>
        <w:jc w:val="both"/>
        <w:rPr>
          <w:rFonts w:ascii="Times New Roman" w:hAnsi="Times New Roman" w:cs="Times New Roman"/>
        </w:rPr>
      </w:pPr>
    </w:p>
    <w:p w:rsidR="00E43833" w:rsidRPr="000D2FB1" w:rsidRDefault="00E43833" w:rsidP="00E43833">
      <w:pPr>
        <w:spacing w:after="0" w:line="240" w:lineRule="auto"/>
        <w:jc w:val="both"/>
        <w:rPr>
          <w:rFonts w:ascii="Times New Roman" w:hAnsi="Times New Roman" w:cs="Times New Roman"/>
          <w:b/>
        </w:rPr>
      </w:pPr>
      <w:r w:rsidRPr="000D2FB1">
        <w:rPr>
          <w:rFonts w:ascii="Times New Roman" w:hAnsi="Times New Roman" w:cs="Times New Roman"/>
          <w:b/>
        </w:rPr>
        <w:t>Pengertian Kredit</w:t>
      </w:r>
    </w:p>
    <w:p w:rsidR="00E43833" w:rsidRPr="000D2FB1" w:rsidRDefault="00E43833" w:rsidP="00E43833">
      <w:pPr>
        <w:spacing w:after="0" w:line="240" w:lineRule="auto"/>
        <w:jc w:val="both"/>
        <w:rPr>
          <w:rFonts w:ascii="Times New Roman" w:hAnsi="Times New Roman" w:cs="Times New Roman"/>
          <w:b/>
        </w:rPr>
      </w:pPr>
    </w:p>
    <w:p w:rsidR="00E43833" w:rsidRPr="000D2FB1" w:rsidRDefault="00E43833" w:rsidP="00E43833">
      <w:pPr>
        <w:spacing w:after="0" w:line="240" w:lineRule="auto"/>
        <w:jc w:val="both"/>
        <w:rPr>
          <w:rFonts w:ascii="Times New Roman" w:hAnsi="Times New Roman" w:cs="Times New Roman"/>
        </w:rPr>
      </w:pPr>
      <w:r w:rsidRPr="000D2FB1">
        <w:rPr>
          <w:rFonts w:ascii="Times New Roman" w:hAnsi="Times New Roman" w:cs="Times New Roman"/>
          <w:b/>
          <w:sz w:val="24"/>
          <w:szCs w:val="24"/>
        </w:rPr>
        <w:tab/>
      </w:r>
      <w:r w:rsidRPr="000D2FB1">
        <w:rPr>
          <w:rFonts w:ascii="Times New Roman" w:hAnsi="Times New Roman" w:cs="Times New Roman"/>
        </w:rPr>
        <w:t>Kredit berasal dari kata “</w:t>
      </w:r>
      <w:r w:rsidRPr="000D2FB1">
        <w:rPr>
          <w:rFonts w:ascii="Times New Roman" w:hAnsi="Times New Roman" w:cs="Times New Roman"/>
          <w:i/>
        </w:rPr>
        <w:t>credere”</w:t>
      </w:r>
      <w:r w:rsidRPr="000D2FB1">
        <w:rPr>
          <w:rFonts w:ascii="Times New Roman" w:hAnsi="Times New Roman" w:cs="Times New Roman"/>
        </w:rPr>
        <w:t xml:space="preserve"> atau “</w:t>
      </w:r>
      <w:r w:rsidRPr="000D2FB1">
        <w:rPr>
          <w:rFonts w:ascii="Times New Roman" w:hAnsi="Times New Roman" w:cs="Times New Roman"/>
          <w:i/>
        </w:rPr>
        <w:t>creditum</w:t>
      </w:r>
      <w:r w:rsidRPr="000D2FB1">
        <w:rPr>
          <w:rFonts w:ascii="Times New Roman" w:hAnsi="Times New Roman" w:cs="Times New Roman"/>
        </w:rPr>
        <w:t xml:space="preserve">”. </w:t>
      </w:r>
      <w:r w:rsidRPr="000D2FB1">
        <w:rPr>
          <w:rFonts w:ascii="Times New Roman" w:hAnsi="Times New Roman" w:cs="Times New Roman"/>
          <w:i/>
        </w:rPr>
        <w:t>Credere</w:t>
      </w:r>
      <w:r w:rsidRPr="000D2FB1">
        <w:rPr>
          <w:rFonts w:ascii="Times New Roman" w:hAnsi="Times New Roman" w:cs="Times New Roman"/>
        </w:rPr>
        <w:t xml:space="preserve"> dari bahas Yunani yang berarti kepercayaan, sementara </w:t>
      </w:r>
      <w:r w:rsidRPr="000D2FB1">
        <w:rPr>
          <w:rFonts w:ascii="Times New Roman" w:hAnsi="Times New Roman" w:cs="Times New Roman"/>
          <w:i/>
        </w:rPr>
        <w:t>creditum</w:t>
      </w:r>
      <w:r w:rsidRPr="000D2FB1">
        <w:rPr>
          <w:rFonts w:ascii="Times New Roman" w:hAnsi="Times New Roman" w:cs="Times New Roman"/>
        </w:rPr>
        <w:t xml:space="preserve"> dari bahas latin yang berarti kepercayaan akan kebenaran. Arti kata tersebut memiliki implikasi bahwa setiap kegiatan perkreditan harus dilandasi kepercayaan. Tanpa kepercayaan maka tidak akan terjadi pemberian kredit atau sebaliknya tidak ada calon nasabah menyepakati kredit, sebab pemberian kredit oleh bank mempunyai nilai ekonomi kepada nasabah perorangan atau badan usaha. Nilai ekonomi yang akan diperoleh nasabah debitur dan kreditur (bank) harus disepakati sejak awal (ada komitmen) tanpa merugikan salah satu pihak.</w:t>
      </w:r>
    </w:p>
    <w:p w:rsidR="00E43833" w:rsidRPr="000D2FB1" w:rsidRDefault="00E43833" w:rsidP="00E43833">
      <w:pPr>
        <w:spacing w:after="0" w:line="240" w:lineRule="auto"/>
        <w:ind w:firstLine="720"/>
        <w:jc w:val="both"/>
        <w:rPr>
          <w:rFonts w:ascii="Times New Roman" w:hAnsi="Times New Roman" w:cs="Times New Roman"/>
        </w:rPr>
      </w:pPr>
      <w:r w:rsidRPr="000D2FB1">
        <w:rPr>
          <w:rFonts w:ascii="Times New Roman" w:hAnsi="Times New Roman" w:cs="Times New Roman"/>
        </w:rPr>
        <w:t>Menurut Undang-Undang Nomor 10 Tahun 1998 tentang Perbankan (atas revisi Undang-Undang Nomor 7 tahun 1992) yang menyebutkan bahwa kredit adalah penyediaan uang atau tagihan yang dapat dipersamakan dengan itu, berdasarkan persetujuan pinjam-meminjam antara pihak bank dengan pihak lain, peminjam berkewajiban melunasi utangnya setelah jangka waktu tertentu dengan jumlah bunga atau bagi hasil yang telah ditetapkan.</w:t>
      </w:r>
    </w:p>
    <w:p w:rsidR="00E43833" w:rsidRPr="000D2FB1" w:rsidRDefault="00E43833" w:rsidP="00E43833">
      <w:pPr>
        <w:spacing w:after="0" w:line="240" w:lineRule="auto"/>
        <w:jc w:val="both"/>
        <w:rPr>
          <w:rFonts w:ascii="Times New Roman" w:hAnsi="Times New Roman" w:cs="Times New Roman"/>
        </w:rPr>
      </w:pPr>
      <w:r w:rsidRPr="000D2FB1">
        <w:rPr>
          <w:rFonts w:ascii="Times New Roman" w:hAnsi="Times New Roman" w:cs="Times New Roman"/>
        </w:rPr>
        <w:tab/>
        <w:t>Menurut Kasmir (2012:85) kredit atau pembiayaan dapat berupa uang atau tagihan yang nilainya diukur dengan uang, misalnya bank membiayai kredit untuk pembelian rumah atau mobil. Kemudian adanya kesepakatan antara bank (</w:t>
      </w:r>
      <w:r w:rsidRPr="000D2FB1">
        <w:rPr>
          <w:rFonts w:ascii="Times New Roman" w:hAnsi="Times New Roman" w:cs="Times New Roman"/>
          <w:i/>
        </w:rPr>
        <w:t>kreditor</w:t>
      </w:r>
      <w:r w:rsidRPr="000D2FB1">
        <w:rPr>
          <w:rFonts w:ascii="Times New Roman" w:hAnsi="Times New Roman" w:cs="Times New Roman"/>
        </w:rPr>
        <w:t>) dengan nasabah penerima kredit (</w:t>
      </w:r>
      <w:r w:rsidRPr="000D2FB1">
        <w:rPr>
          <w:rFonts w:ascii="Times New Roman" w:hAnsi="Times New Roman" w:cs="Times New Roman"/>
          <w:i/>
        </w:rPr>
        <w:t>debitur</w:t>
      </w:r>
      <w:r w:rsidRPr="000D2FB1">
        <w:rPr>
          <w:rFonts w:ascii="Times New Roman" w:hAnsi="Times New Roman" w:cs="Times New Roman"/>
        </w:rPr>
        <w:t>), bahwa mereka sepakat sesuai dengan perjanjian yang telah dibuatnya.</w:t>
      </w:r>
    </w:p>
    <w:p w:rsidR="00E43833" w:rsidRPr="000D2FB1" w:rsidRDefault="00E43833" w:rsidP="00E43833">
      <w:pPr>
        <w:pStyle w:val="ListParagraph"/>
        <w:spacing w:after="0" w:line="240" w:lineRule="auto"/>
        <w:jc w:val="both"/>
        <w:rPr>
          <w:rFonts w:ascii="Times New Roman" w:hAnsi="Times New Roman" w:cs="Times New Roman"/>
        </w:rPr>
      </w:pPr>
    </w:p>
    <w:p w:rsidR="00E43833" w:rsidRPr="000D2FB1" w:rsidRDefault="00E43833" w:rsidP="00E43833">
      <w:pPr>
        <w:pStyle w:val="ListParagraph"/>
        <w:spacing w:after="0" w:line="480" w:lineRule="auto"/>
        <w:ind w:left="0"/>
        <w:jc w:val="both"/>
        <w:rPr>
          <w:rFonts w:ascii="Times New Roman" w:hAnsi="Times New Roman" w:cs="Times New Roman"/>
          <w:b/>
        </w:rPr>
      </w:pPr>
      <w:r w:rsidRPr="000D2FB1">
        <w:rPr>
          <w:rFonts w:ascii="Times New Roman" w:hAnsi="Times New Roman" w:cs="Times New Roman"/>
          <w:b/>
        </w:rPr>
        <w:t>Pertumbuhan Kredit</w:t>
      </w:r>
    </w:p>
    <w:p w:rsidR="00E43833" w:rsidRPr="000D2FB1" w:rsidRDefault="00AE187F" w:rsidP="00E43833">
      <w:pPr>
        <w:pStyle w:val="ListParagraph"/>
        <w:spacing w:after="0" w:line="240" w:lineRule="auto"/>
        <w:ind w:left="0" w:firstLine="720"/>
        <w:jc w:val="both"/>
        <w:rPr>
          <w:rFonts w:ascii="Times New Roman" w:hAnsi="Times New Roman" w:cs="Times New Roman"/>
        </w:rPr>
      </w:pPr>
      <w:r>
        <w:rPr>
          <w:rFonts w:ascii="Times New Roman" w:hAnsi="Times New Roman" w:cs="Times New Roman"/>
        </w:rPr>
        <w:t>Menurut (Kristijadi dan Laksana 2012) pertumbuhan kredit</w:t>
      </w:r>
      <w:r w:rsidR="00E43833" w:rsidRPr="000D2FB1">
        <w:rPr>
          <w:rFonts w:ascii="Times New Roman" w:hAnsi="Times New Roman" w:cs="Times New Roman"/>
        </w:rPr>
        <w:t xml:space="preserve"> perbandingan antara selisih total kredit pada satu perode dengan periode sebelumnya dibanding dengan total kredit periode sebelumnya. Rumus yang digunakan untuk menghitung pertumbuhan selama kurun </w:t>
      </w:r>
      <w:r w:rsidR="00690744">
        <w:rPr>
          <w:rFonts w:ascii="Times New Roman" w:hAnsi="Times New Roman" w:cs="Times New Roman"/>
        </w:rPr>
        <w:t>w</w:t>
      </w:r>
      <w:r w:rsidR="00E43833" w:rsidRPr="000D2FB1">
        <w:rPr>
          <w:rFonts w:ascii="Times New Roman" w:hAnsi="Times New Roman" w:cs="Times New Roman"/>
        </w:rPr>
        <w:t>aktu tertentu:</w:t>
      </w:r>
    </w:p>
    <w:p w:rsidR="00E43833" w:rsidRPr="000D2FB1" w:rsidRDefault="00E43833" w:rsidP="00E43833">
      <w:pPr>
        <w:pStyle w:val="ListParagraph"/>
        <w:spacing w:after="0" w:line="240" w:lineRule="auto"/>
        <w:ind w:left="0" w:firstLine="720"/>
        <w:jc w:val="both"/>
        <w:rPr>
          <w:rFonts w:ascii="Times New Roman" w:hAnsi="Times New Roman" w:cs="Times New Roman"/>
        </w:rPr>
      </w:pPr>
    </w:p>
    <w:p w:rsidR="00E43833" w:rsidRPr="000D2FB1" w:rsidRDefault="007F69E2" w:rsidP="00E43833">
      <w:pPr>
        <w:pStyle w:val="ListParagraph"/>
        <w:spacing w:after="0" w:line="240" w:lineRule="auto"/>
        <w:ind w:left="0"/>
        <w:jc w:val="both"/>
        <w:rPr>
          <w:rFonts w:ascii="Times New Roman" w:hAnsi="Times New Roman" w:cs="Times New Roman"/>
        </w:rPr>
      </w:pPr>
      <w:r>
        <w:rPr>
          <w:rFonts w:ascii="Times New Roman" w:hAnsi="Times New Roman" w:cs="Times New Roman"/>
          <w:noProof/>
          <w:lang w:eastAsia="id-ID"/>
        </w:rPr>
        <w:pict>
          <v:shapetype id="_x0000_t202" coordsize="21600,21600" o:spt="202" path="m,l,21600r21600,l21600,xe">
            <v:stroke joinstyle="miter"/>
            <v:path gradientshapeok="t" o:connecttype="rect"/>
          </v:shapetype>
          <v:shape id="_x0000_s1026" type="#_x0000_t202" style="position:absolute;left:0;text-align:left;margin-left:185.4pt;margin-top:2.65pt;width:43.5pt;height:22.5pt;z-index:251660288" stroked="f">
            <v:textbox style="mso-next-textbox:#_x0000_s1026">
              <w:txbxContent>
                <w:p w:rsidR="00E43833" w:rsidRPr="00D27B4E" w:rsidRDefault="00E43833" w:rsidP="00E43833">
                  <w:pPr>
                    <w:rPr>
                      <w:rFonts w:ascii="Times New Roman" w:hAnsi="Times New Roman" w:cs="Times New Roman"/>
                      <w:sz w:val="24"/>
                    </w:rPr>
                  </w:pPr>
                  <w:r w:rsidRPr="00D27B4E">
                    <w:rPr>
                      <w:rFonts w:ascii="Times New Roman" w:hAnsi="Times New Roman" w:cs="Times New Roman"/>
                      <w:sz w:val="24"/>
                    </w:rPr>
                    <w:t>100%</w:t>
                  </w:r>
                </w:p>
              </w:txbxContent>
            </v:textbox>
          </v:shape>
        </w:pict>
      </w:r>
      <w:r w:rsidR="00E43833" w:rsidRPr="000D2FB1">
        <w:rPr>
          <w:rFonts w:ascii="Times New Roman" w:hAnsi="Times New Roman" w:cs="Times New Roman"/>
        </w:rPr>
        <w:t>Pertumbuhan kredit =</w:t>
      </w:r>
      <m:oMath>
        <m:f>
          <m:fPr>
            <m:ctrlPr>
              <w:rPr>
                <w:rFonts w:ascii="Cambria Math" w:hAnsi="Times New Roman" w:cs="Times New Roman"/>
                <w:i/>
              </w:rPr>
            </m:ctrlPr>
          </m:fPr>
          <m:num>
            <m:r>
              <m:rPr>
                <m:sty m:val="p"/>
              </m:rPr>
              <w:rPr>
                <w:rFonts w:ascii="Cambria Math" w:eastAsiaTheme="minorEastAsia" w:hAnsi="Times New Roman" w:cs="Times New Roman"/>
              </w:rPr>
              <m:t xml:space="preserve">Kredit t </m:t>
            </m:r>
            <m:r>
              <m:rPr>
                <m:sty m:val="p"/>
              </m:rPr>
              <w:rPr>
                <w:rFonts w:ascii="Times New Roman" w:eastAsiaTheme="minorEastAsia" w:hAnsi="Times New Roman" w:cs="Times New Roman"/>
              </w:rPr>
              <m:t>–</m:t>
            </m:r>
            <m:r>
              <m:rPr>
                <m:sty m:val="p"/>
              </m:rPr>
              <w:rPr>
                <w:rFonts w:ascii="Cambria Math" w:eastAsiaTheme="minorEastAsia" w:hAnsi="Times New Roman" w:cs="Times New Roman"/>
              </w:rPr>
              <m:t xml:space="preserve"> Kredit t</m:t>
            </m:r>
            <m:r>
              <m:rPr>
                <m:sty m:val="p"/>
              </m:rPr>
              <w:rPr>
                <w:rFonts w:ascii="Times New Roman" w:eastAsiaTheme="minorEastAsia" w:hAnsi="Times New Roman" w:cs="Times New Roman"/>
              </w:rPr>
              <m:t>-</m:t>
            </m:r>
            <m:r>
              <m:rPr>
                <m:sty m:val="p"/>
              </m:rPr>
              <w:rPr>
                <w:rFonts w:ascii="Cambria Math" w:eastAsiaTheme="minorEastAsia" w:hAnsi="Times New Roman" w:cs="Times New Roman"/>
              </w:rPr>
              <m:t>i</m:t>
            </m:r>
          </m:num>
          <m:den>
            <m:r>
              <m:rPr>
                <m:sty m:val="p"/>
              </m:rPr>
              <w:rPr>
                <w:rFonts w:ascii="Cambria Math" w:hAnsi="Times New Roman" w:cs="Times New Roman"/>
              </w:rPr>
              <m:t>Kredit t</m:t>
            </m:r>
            <m:r>
              <m:rPr>
                <m:sty m:val="p"/>
              </m:rPr>
              <w:rPr>
                <w:rFonts w:ascii="Times New Roman" w:hAnsi="Times New Roman" w:cs="Times New Roman"/>
              </w:rPr>
              <m:t>-</m:t>
            </m:r>
            <m:r>
              <m:rPr>
                <m:sty m:val="p"/>
              </m:rPr>
              <w:rPr>
                <w:rFonts w:ascii="Cambria Math" w:hAnsi="Times New Roman" w:cs="Times New Roman"/>
              </w:rPr>
              <m:t>i</m:t>
            </m:r>
          </m:den>
        </m:f>
        <m:r>
          <w:rPr>
            <w:rFonts w:ascii="Cambria Math" w:hAnsi="Cambria Math" w:cs="Times New Roman"/>
          </w:rPr>
          <m:t>x</m:t>
        </m:r>
      </m:oMath>
      <w:r w:rsidR="00E43833" w:rsidRPr="000D2FB1">
        <w:rPr>
          <w:rFonts w:ascii="Times New Roman" w:eastAsiaTheme="minorEastAsia" w:hAnsi="Times New Roman" w:cs="Times New Roman"/>
        </w:rPr>
        <w:tab/>
      </w:r>
      <w:r w:rsidR="00E43833" w:rsidRPr="000D2FB1">
        <w:rPr>
          <w:rFonts w:ascii="Times New Roman" w:eastAsiaTheme="minorEastAsia" w:hAnsi="Times New Roman" w:cs="Times New Roman"/>
        </w:rPr>
        <w:tab/>
        <w:t xml:space="preserve">     ........</w:t>
      </w:r>
      <w:r w:rsidR="00E43833" w:rsidRPr="000D2FB1">
        <w:rPr>
          <w:rFonts w:ascii="Times New Roman" w:eastAsiaTheme="minorEastAsia" w:hAnsi="Times New Roman" w:cs="Times New Roman"/>
        </w:rPr>
        <w:tab/>
        <w:t>..........................................................(1)</w:t>
      </w:r>
    </w:p>
    <w:p w:rsidR="00E43833" w:rsidRPr="000D2FB1" w:rsidRDefault="00E43833" w:rsidP="00E43833">
      <w:pPr>
        <w:pStyle w:val="ListParagraph"/>
        <w:spacing w:after="0" w:line="240" w:lineRule="auto"/>
        <w:ind w:left="0"/>
        <w:jc w:val="both"/>
        <w:rPr>
          <w:rFonts w:ascii="Times New Roman" w:hAnsi="Times New Roman" w:cs="Times New Roman"/>
        </w:rPr>
      </w:pPr>
    </w:p>
    <w:p w:rsidR="00E43833" w:rsidRPr="000D2FB1" w:rsidRDefault="00E43833" w:rsidP="00E43833">
      <w:pPr>
        <w:pStyle w:val="ListParagraph"/>
        <w:spacing w:after="0" w:line="240" w:lineRule="auto"/>
        <w:ind w:left="0"/>
        <w:jc w:val="both"/>
        <w:rPr>
          <w:rFonts w:ascii="Times New Roman" w:hAnsi="Times New Roman" w:cs="Times New Roman"/>
        </w:rPr>
      </w:pPr>
      <w:r w:rsidRPr="000D2FB1">
        <w:rPr>
          <w:rFonts w:ascii="Times New Roman" w:hAnsi="Times New Roman" w:cs="Times New Roman"/>
        </w:rPr>
        <w:t xml:space="preserve">Kredit = pertumbuhan kredit </w:t>
      </w:r>
    </w:p>
    <w:p w:rsidR="00E43833" w:rsidRPr="000D2FB1" w:rsidRDefault="00E43833" w:rsidP="00E43833">
      <w:pPr>
        <w:pStyle w:val="ListParagraph"/>
        <w:spacing w:after="0" w:line="240" w:lineRule="auto"/>
        <w:ind w:left="0"/>
        <w:jc w:val="both"/>
        <w:rPr>
          <w:rFonts w:ascii="Times New Roman" w:hAnsi="Times New Roman" w:cs="Times New Roman"/>
        </w:rPr>
      </w:pPr>
      <w:r w:rsidRPr="000D2FB1">
        <w:rPr>
          <w:rFonts w:ascii="Times New Roman" w:hAnsi="Times New Roman" w:cs="Times New Roman"/>
        </w:rPr>
        <w:t xml:space="preserve">t = Periode sekarang </w:t>
      </w:r>
    </w:p>
    <w:p w:rsidR="00E43833" w:rsidRPr="000D2FB1" w:rsidRDefault="00E43833" w:rsidP="00E43833">
      <w:pPr>
        <w:pStyle w:val="ListParagraph"/>
        <w:spacing w:after="0" w:line="240" w:lineRule="auto"/>
        <w:ind w:left="0"/>
        <w:jc w:val="both"/>
        <w:rPr>
          <w:rFonts w:ascii="Times New Roman" w:hAnsi="Times New Roman" w:cs="Times New Roman"/>
        </w:rPr>
      </w:pPr>
      <w:r w:rsidRPr="000D2FB1">
        <w:rPr>
          <w:rFonts w:ascii="Times New Roman" w:hAnsi="Times New Roman" w:cs="Times New Roman"/>
        </w:rPr>
        <w:t>i = Periode sebelumnya</w:t>
      </w:r>
    </w:p>
    <w:p w:rsidR="00E43833" w:rsidRPr="000D2FB1" w:rsidRDefault="00E43833" w:rsidP="00E43833">
      <w:pPr>
        <w:pStyle w:val="ListParagraph"/>
        <w:spacing w:after="0" w:line="240" w:lineRule="auto"/>
        <w:jc w:val="both"/>
        <w:rPr>
          <w:rFonts w:ascii="Times New Roman" w:hAnsi="Times New Roman" w:cs="Times New Roman"/>
        </w:rPr>
      </w:pPr>
    </w:p>
    <w:p w:rsidR="00BF34CC" w:rsidRPr="000D2FB1" w:rsidRDefault="00BF34CC" w:rsidP="00BF34CC">
      <w:pPr>
        <w:autoSpaceDE w:val="0"/>
        <w:autoSpaceDN w:val="0"/>
        <w:adjustRightInd w:val="0"/>
        <w:spacing w:after="0" w:line="240" w:lineRule="auto"/>
        <w:jc w:val="both"/>
        <w:rPr>
          <w:rFonts w:ascii="Times New Roman" w:hAnsi="Times New Roman" w:cs="Times New Roman"/>
          <w:b/>
        </w:rPr>
      </w:pPr>
    </w:p>
    <w:p w:rsidR="00E43833" w:rsidRPr="000D2FB1" w:rsidRDefault="00E43833" w:rsidP="00E43833">
      <w:pPr>
        <w:spacing w:after="0" w:line="480" w:lineRule="auto"/>
        <w:jc w:val="both"/>
        <w:rPr>
          <w:rFonts w:ascii="Times New Roman" w:hAnsi="Times New Roman" w:cs="Times New Roman"/>
          <w:b/>
          <w:sz w:val="24"/>
          <w:szCs w:val="24"/>
        </w:rPr>
      </w:pPr>
      <w:r w:rsidRPr="000D2FB1">
        <w:rPr>
          <w:rFonts w:ascii="Times New Roman" w:hAnsi="Times New Roman" w:cs="Times New Roman"/>
          <w:b/>
          <w:sz w:val="24"/>
          <w:szCs w:val="24"/>
        </w:rPr>
        <w:t>Kredit Properti</w:t>
      </w:r>
    </w:p>
    <w:p w:rsidR="00E43833" w:rsidRPr="000D2FB1" w:rsidRDefault="00E43833" w:rsidP="00E43833">
      <w:pPr>
        <w:spacing w:after="0" w:line="240" w:lineRule="auto"/>
        <w:ind w:firstLine="720"/>
        <w:jc w:val="both"/>
        <w:rPr>
          <w:rFonts w:ascii="Times New Roman" w:hAnsi="Times New Roman" w:cs="Times New Roman"/>
          <w:shd w:val="clear" w:color="auto" w:fill="FFFFFF"/>
        </w:rPr>
      </w:pPr>
      <w:r w:rsidRPr="000D2FB1">
        <w:rPr>
          <w:rFonts w:ascii="Times New Roman" w:hAnsi="Times New Roman" w:cs="Times New Roman"/>
          <w:shd w:val="clear" w:color="auto" w:fill="FFFFFF"/>
        </w:rPr>
        <w:t>Menurut kamus besar bahasa Indonesia (KBBI)</w:t>
      </w:r>
      <w:r w:rsidRPr="000D2FB1">
        <w:rPr>
          <w:rStyle w:val="apple-converted-space"/>
          <w:rFonts w:ascii="Times New Roman" w:hAnsi="Times New Roman" w:cs="Times New Roman"/>
          <w:shd w:val="clear" w:color="auto" w:fill="FFFFFF"/>
        </w:rPr>
        <w:t> </w:t>
      </w:r>
      <w:r w:rsidRPr="000D2FB1">
        <w:rPr>
          <w:rStyle w:val="Strong"/>
          <w:rFonts w:ascii="Times New Roman" w:hAnsi="Times New Roman" w:cs="Times New Roman"/>
          <w:b w:val="0"/>
          <w:bdr w:val="none" w:sz="0" w:space="0" w:color="auto" w:frame="1"/>
          <w:shd w:val="clear" w:color="auto" w:fill="FFFFFF"/>
        </w:rPr>
        <w:t>pengertian</w:t>
      </w:r>
      <w:r w:rsidRPr="000D2FB1">
        <w:rPr>
          <w:rStyle w:val="apple-converted-space"/>
          <w:rFonts w:ascii="Times New Roman" w:hAnsi="Times New Roman" w:cs="Times New Roman"/>
          <w:b/>
          <w:shd w:val="clear" w:color="auto" w:fill="FFFFFF"/>
        </w:rPr>
        <w:t> </w:t>
      </w:r>
      <w:r w:rsidRPr="000D2FB1">
        <w:rPr>
          <w:rFonts w:ascii="Times New Roman" w:hAnsi="Times New Roman" w:cs="Times New Roman"/>
          <w:shd w:val="clear" w:color="auto" w:fill="FFFFFF"/>
        </w:rPr>
        <w:t>atau</w:t>
      </w:r>
      <w:r w:rsidRPr="000D2FB1">
        <w:rPr>
          <w:rStyle w:val="apple-converted-space"/>
          <w:rFonts w:ascii="Times New Roman" w:hAnsi="Times New Roman" w:cs="Times New Roman"/>
          <w:shd w:val="clear" w:color="auto" w:fill="FFFFFF"/>
        </w:rPr>
        <w:t> </w:t>
      </w:r>
      <w:r w:rsidRPr="000D2FB1">
        <w:rPr>
          <w:rStyle w:val="Strong"/>
          <w:rFonts w:ascii="Times New Roman" w:hAnsi="Times New Roman" w:cs="Times New Roman"/>
          <w:b w:val="0"/>
          <w:bdr w:val="none" w:sz="0" w:space="0" w:color="auto" w:frame="1"/>
          <w:shd w:val="clear" w:color="auto" w:fill="FFFFFF"/>
        </w:rPr>
        <w:t>definisi properti</w:t>
      </w:r>
      <w:r w:rsidRPr="000D2FB1">
        <w:rPr>
          <w:rStyle w:val="Strong"/>
          <w:rFonts w:ascii="Times New Roman" w:hAnsi="Times New Roman" w:cs="Times New Roman"/>
          <w:bdr w:val="none" w:sz="0" w:space="0" w:color="auto" w:frame="1"/>
          <w:shd w:val="clear" w:color="auto" w:fill="FFFFFF"/>
        </w:rPr>
        <w:t xml:space="preserve"> </w:t>
      </w:r>
      <w:r w:rsidRPr="000D2FB1">
        <w:rPr>
          <w:rFonts w:ascii="Times New Roman" w:hAnsi="Times New Roman" w:cs="Times New Roman"/>
          <w:shd w:val="clear" w:color="auto" w:fill="FFFFFF"/>
        </w:rPr>
        <w:t>adalah harta berupa tanah dan bangunan serta sarana dan prasarana yang merupakan bagian yang tidak terpisahkan dari tanah dan/atau bangunan yang dimaksudkan.</w:t>
      </w:r>
    </w:p>
    <w:p w:rsidR="00E43833" w:rsidRDefault="00E43833" w:rsidP="00E43833">
      <w:pPr>
        <w:spacing w:after="0" w:line="240" w:lineRule="auto"/>
        <w:ind w:firstLine="720"/>
        <w:jc w:val="both"/>
        <w:rPr>
          <w:rFonts w:ascii="Times New Roman" w:eastAsia="Times New Roman" w:hAnsi="Times New Roman" w:cs="Times New Roman"/>
          <w:shd w:val="clear" w:color="auto" w:fill="FFFFFF"/>
          <w:lang w:eastAsia="id-ID"/>
        </w:rPr>
      </w:pPr>
      <w:r w:rsidRPr="000D2FB1">
        <w:rPr>
          <w:rFonts w:ascii="Times New Roman" w:hAnsi="Times New Roman" w:cs="Times New Roman"/>
        </w:rPr>
        <w:t>Menurut situs web (</w:t>
      </w:r>
      <w:hyperlink r:id="rId5" w:history="1">
        <w:r w:rsidRPr="000D2FB1">
          <w:rPr>
            <w:rStyle w:val="Hyperlink"/>
            <w:rFonts w:ascii="Times New Roman" w:hAnsi="Times New Roman" w:cs="Times New Roman"/>
            <w:color w:val="auto"/>
          </w:rPr>
          <w:t>http://pengusaha-property.blogspot.com/2012/08/arti-dan-definisi-property.html</w:t>
        </w:r>
      </w:hyperlink>
      <w:r w:rsidRPr="000D2FB1">
        <w:rPr>
          <w:rFonts w:ascii="Times New Roman" w:hAnsi="Times New Roman" w:cs="Times New Roman"/>
        </w:rPr>
        <w:t xml:space="preserve">, diunduh tanggal 8 November 2014) </w:t>
      </w:r>
      <w:r w:rsidRPr="000D2FB1">
        <w:rPr>
          <w:rFonts w:ascii="Times New Roman" w:eastAsia="Times New Roman" w:hAnsi="Times New Roman" w:cs="Times New Roman"/>
          <w:shd w:val="clear" w:color="auto" w:fill="FFFFFF"/>
          <w:lang w:eastAsia="id-ID"/>
        </w:rPr>
        <w:t>kata</w:t>
      </w:r>
      <w:r w:rsidRPr="000D2FB1">
        <w:rPr>
          <w:rFonts w:ascii="Times New Roman" w:eastAsia="Times New Roman" w:hAnsi="Times New Roman" w:cs="Times New Roman"/>
          <w:lang w:eastAsia="id-ID"/>
        </w:rPr>
        <w:t> </w:t>
      </w:r>
      <w:r w:rsidRPr="000D2FB1">
        <w:rPr>
          <w:rFonts w:ascii="Times New Roman" w:eastAsia="Times New Roman" w:hAnsi="Times New Roman" w:cs="Times New Roman"/>
          <w:bCs/>
          <w:shd w:val="clear" w:color="auto" w:fill="FFFFFF"/>
          <w:lang w:eastAsia="id-ID"/>
        </w:rPr>
        <w:t>properti</w:t>
      </w:r>
      <w:r w:rsidRPr="000D2FB1">
        <w:rPr>
          <w:rFonts w:ascii="Times New Roman" w:eastAsia="Times New Roman" w:hAnsi="Times New Roman" w:cs="Times New Roman"/>
          <w:lang w:eastAsia="id-ID"/>
        </w:rPr>
        <w:t> </w:t>
      </w:r>
      <w:r w:rsidRPr="000D2FB1">
        <w:rPr>
          <w:rFonts w:ascii="Times New Roman" w:eastAsia="Times New Roman" w:hAnsi="Times New Roman" w:cs="Times New Roman"/>
          <w:shd w:val="clear" w:color="auto" w:fill="FFFFFF"/>
          <w:lang w:eastAsia="id-ID"/>
        </w:rPr>
        <w:t>berasal dari bahasa inggris "</w:t>
      </w:r>
      <w:r w:rsidRPr="000D2FB1">
        <w:rPr>
          <w:rFonts w:ascii="Times New Roman" w:eastAsia="Times New Roman" w:hAnsi="Times New Roman" w:cs="Times New Roman"/>
          <w:i/>
          <w:shd w:val="clear" w:color="auto" w:fill="FFFFFF"/>
          <w:lang w:eastAsia="id-ID"/>
        </w:rPr>
        <w:t>property</w:t>
      </w:r>
      <w:r w:rsidRPr="000D2FB1">
        <w:rPr>
          <w:rFonts w:ascii="Times New Roman" w:eastAsia="Times New Roman" w:hAnsi="Times New Roman" w:cs="Times New Roman"/>
          <w:shd w:val="clear" w:color="auto" w:fill="FFFFFF"/>
          <w:lang w:eastAsia="id-ID"/>
        </w:rPr>
        <w:t xml:space="preserve">" yang berarti sesuatu yang dapat dimiliki seseorang. Di Indonesia, istilah properti identik dengan </w:t>
      </w:r>
      <w:r w:rsidRPr="000D2FB1">
        <w:rPr>
          <w:rFonts w:ascii="Times New Roman" w:eastAsia="Times New Roman" w:hAnsi="Times New Roman" w:cs="Times New Roman"/>
          <w:i/>
          <w:shd w:val="clear" w:color="auto" w:fill="FFFFFF"/>
          <w:lang w:eastAsia="id-ID"/>
        </w:rPr>
        <w:t>real estate</w:t>
      </w:r>
      <w:r w:rsidRPr="000D2FB1">
        <w:rPr>
          <w:rFonts w:ascii="Times New Roman" w:eastAsia="Times New Roman" w:hAnsi="Times New Roman" w:cs="Times New Roman"/>
          <w:shd w:val="clear" w:color="auto" w:fill="FFFFFF"/>
          <w:lang w:eastAsia="id-ID"/>
        </w:rPr>
        <w:t xml:space="preserve">, rumah, tanah, ruko, gedung, atau gudang. </w:t>
      </w:r>
    </w:p>
    <w:p w:rsidR="00383D81" w:rsidRPr="00383D81" w:rsidRDefault="00383D81" w:rsidP="00383D81">
      <w:pPr>
        <w:spacing w:after="0" w:line="240" w:lineRule="auto"/>
        <w:ind w:firstLine="720"/>
        <w:jc w:val="both"/>
        <w:rPr>
          <w:rFonts w:ascii="Times New Roman" w:eastAsia="Times New Roman" w:hAnsi="Times New Roman" w:cs="Times New Roman"/>
          <w:bCs/>
          <w:shd w:val="clear" w:color="auto" w:fill="FFFFFF"/>
        </w:rPr>
      </w:pPr>
      <w:r w:rsidRPr="00383D81">
        <w:rPr>
          <w:rFonts w:ascii="Times New Roman" w:hAnsi="Times New Roman" w:cs="Times New Roman"/>
        </w:rPr>
        <w:t>Menurut Supardi, Heri, da</w:t>
      </w:r>
      <w:r>
        <w:rPr>
          <w:rFonts w:ascii="Times New Roman" w:hAnsi="Times New Roman" w:cs="Times New Roman"/>
        </w:rPr>
        <w:t xml:space="preserve">n </w:t>
      </w:r>
      <w:r w:rsidRPr="00383D81">
        <w:rPr>
          <w:rFonts w:ascii="Times New Roman" w:hAnsi="Times New Roman" w:cs="Times New Roman"/>
        </w:rPr>
        <w:t xml:space="preserve">Luthfi (2010:2) </w:t>
      </w:r>
      <w:r w:rsidRPr="00383D81">
        <w:rPr>
          <w:rFonts w:ascii="Times New Roman" w:hAnsi="Times New Roman" w:cs="Times New Roman"/>
          <w:i/>
        </w:rPr>
        <w:t>real estate</w:t>
      </w:r>
      <w:r w:rsidRPr="00383D81">
        <w:rPr>
          <w:rFonts w:ascii="Times New Roman" w:hAnsi="Times New Roman" w:cs="Times New Roman"/>
        </w:rPr>
        <w:t xml:space="preserve"> secara terminologi adalah penguasaan secara fisik atas tanah dan bangunan sedangkan </w:t>
      </w:r>
      <w:r w:rsidRPr="00383D81">
        <w:rPr>
          <w:rFonts w:ascii="Times New Roman" w:hAnsi="Times New Roman" w:cs="Times New Roman"/>
          <w:i/>
        </w:rPr>
        <w:t>real property</w:t>
      </w:r>
      <w:r w:rsidRPr="00383D81">
        <w:rPr>
          <w:rFonts w:ascii="Times New Roman" w:hAnsi="Times New Roman" w:cs="Times New Roman"/>
        </w:rPr>
        <w:t xml:space="preserve"> diartikan sebagai penguasaan secara hukum yang dilandasi dengan hak atas tanah dan bangunan tersebut.</w:t>
      </w:r>
    </w:p>
    <w:p w:rsidR="00383D81" w:rsidRPr="00383D81" w:rsidRDefault="00383D81" w:rsidP="00383D81">
      <w:pPr>
        <w:spacing w:after="0" w:line="240" w:lineRule="auto"/>
        <w:ind w:firstLine="720"/>
        <w:jc w:val="both"/>
      </w:pPr>
      <w:r w:rsidRPr="00383D81">
        <w:rPr>
          <w:rFonts w:ascii="Times New Roman" w:hAnsi="Times New Roman" w:cs="Times New Roman"/>
        </w:rPr>
        <w:lastRenderedPageBreak/>
        <w:t xml:space="preserve">Menurut Supardi, Heri dan  Luthfi (2010:2) </w:t>
      </w:r>
      <w:r w:rsidRPr="00383D81">
        <w:rPr>
          <w:rFonts w:ascii="Times New Roman" w:hAnsi="Times New Roman" w:cs="Times New Roman"/>
          <w:i/>
        </w:rPr>
        <w:t>personal property</w:t>
      </w:r>
      <w:r w:rsidRPr="00383D81">
        <w:rPr>
          <w:rFonts w:ascii="Times New Roman" w:hAnsi="Times New Roman" w:cs="Times New Roman"/>
        </w:rPr>
        <w:t xml:space="preserve"> adalah segala jenis properti yang bersifat tidak permanen, baik berupa properti berwujud seperti mesin, peralatan, dan </w:t>
      </w:r>
      <w:r w:rsidRPr="00383D81">
        <w:rPr>
          <w:rFonts w:ascii="Times New Roman" w:hAnsi="Times New Roman" w:cs="Times New Roman"/>
          <w:i/>
        </w:rPr>
        <w:t>furniture</w:t>
      </w:r>
      <w:r w:rsidRPr="00383D81">
        <w:rPr>
          <w:rFonts w:ascii="Times New Roman" w:hAnsi="Times New Roman" w:cs="Times New Roman"/>
        </w:rPr>
        <w:t xml:space="preserve">: maupun properti yang tidak berwujud seperti </w:t>
      </w:r>
      <w:r w:rsidRPr="00383D81">
        <w:rPr>
          <w:rFonts w:ascii="Times New Roman" w:hAnsi="Times New Roman" w:cs="Times New Roman"/>
          <w:i/>
        </w:rPr>
        <w:t>goodwill</w:t>
      </w:r>
      <w:r w:rsidRPr="00383D81">
        <w:rPr>
          <w:rFonts w:ascii="Times New Roman" w:hAnsi="Times New Roman" w:cs="Times New Roman"/>
        </w:rPr>
        <w:t xml:space="preserve">, </w:t>
      </w:r>
      <w:r w:rsidRPr="00383D81">
        <w:rPr>
          <w:rFonts w:ascii="Times New Roman" w:hAnsi="Times New Roman" w:cs="Times New Roman"/>
          <w:i/>
        </w:rPr>
        <w:t>merk</w:t>
      </w:r>
      <w:r w:rsidRPr="00383D81">
        <w:rPr>
          <w:rFonts w:ascii="Times New Roman" w:hAnsi="Times New Roman" w:cs="Times New Roman"/>
        </w:rPr>
        <w:t xml:space="preserve">, </w:t>
      </w:r>
      <w:r w:rsidRPr="00383D81">
        <w:rPr>
          <w:rFonts w:ascii="Times New Roman" w:hAnsi="Times New Roman" w:cs="Times New Roman"/>
          <w:i/>
        </w:rPr>
        <w:t>trademark</w:t>
      </w:r>
      <w:r w:rsidRPr="00383D81">
        <w:rPr>
          <w:rFonts w:ascii="Times New Roman" w:hAnsi="Times New Roman" w:cs="Times New Roman"/>
        </w:rPr>
        <w:t>, dan sebagainya.</w:t>
      </w:r>
    </w:p>
    <w:p w:rsidR="00E43833" w:rsidRPr="000D2FB1" w:rsidRDefault="00E43833" w:rsidP="00E43833">
      <w:pPr>
        <w:spacing w:after="0" w:line="240" w:lineRule="auto"/>
        <w:ind w:firstLine="720"/>
        <w:jc w:val="both"/>
        <w:rPr>
          <w:rFonts w:ascii="Times New Roman" w:hAnsi="Times New Roman" w:cs="Times New Roman"/>
        </w:rPr>
      </w:pPr>
      <w:r w:rsidRPr="000D2FB1">
        <w:rPr>
          <w:rFonts w:ascii="Times New Roman" w:hAnsi="Times New Roman" w:cs="Times New Roman"/>
        </w:rPr>
        <w:t xml:space="preserve">Menurut Bank Indonesia kredit properti adalah kredit yang diberikan kepada kontraktor untuk pembangunan perkantoran, perhotelan, rumah dan pertokoan serta kredit kepada perorangan untuk kepemilikan serta pemugaran perumahan, mencakup KPR/KPA, kredit Konstruksi dan Kredit </w:t>
      </w:r>
      <w:r w:rsidRPr="000D2FB1">
        <w:rPr>
          <w:rFonts w:ascii="Times New Roman" w:hAnsi="Times New Roman" w:cs="Times New Roman"/>
          <w:i/>
        </w:rPr>
        <w:t>Rel Estate</w:t>
      </w:r>
      <w:r w:rsidRPr="000D2FB1">
        <w:rPr>
          <w:rFonts w:ascii="Times New Roman" w:hAnsi="Times New Roman" w:cs="Times New Roman"/>
        </w:rPr>
        <w:t>.</w:t>
      </w:r>
    </w:p>
    <w:p w:rsidR="00E43833" w:rsidRPr="000D2FB1" w:rsidRDefault="00E43833" w:rsidP="00E43833">
      <w:pPr>
        <w:spacing w:after="0" w:line="240" w:lineRule="auto"/>
        <w:ind w:firstLine="720"/>
        <w:jc w:val="both"/>
        <w:rPr>
          <w:rFonts w:ascii="Times New Roman" w:hAnsi="Times New Roman" w:cs="Times New Roman"/>
        </w:rPr>
      </w:pPr>
    </w:p>
    <w:p w:rsidR="00E43833" w:rsidRPr="000D2FB1" w:rsidRDefault="00E43833" w:rsidP="00E43833">
      <w:pPr>
        <w:spacing w:after="0" w:line="240" w:lineRule="auto"/>
        <w:jc w:val="both"/>
        <w:rPr>
          <w:rFonts w:ascii="Times New Roman" w:hAnsi="Times New Roman" w:cs="Times New Roman"/>
          <w:b/>
        </w:rPr>
      </w:pPr>
      <w:r w:rsidRPr="000D2FB1">
        <w:rPr>
          <w:rFonts w:ascii="Times New Roman" w:hAnsi="Times New Roman" w:cs="Times New Roman"/>
          <w:b/>
        </w:rPr>
        <w:t xml:space="preserve">Pengertian </w:t>
      </w:r>
      <w:r w:rsidRPr="000D2FB1">
        <w:rPr>
          <w:rFonts w:ascii="Times New Roman" w:hAnsi="Times New Roman" w:cs="Times New Roman"/>
          <w:b/>
          <w:i/>
        </w:rPr>
        <w:t xml:space="preserve">Loan to Value </w:t>
      </w:r>
      <w:r w:rsidRPr="000D2FB1">
        <w:rPr>
          <w:rFonts w:ascii="Times New Roman" w:hAnsi="Times New Roman" w:cs="Times New Roman"/>
          <w:b/>
        </w:rPr>
        <w:t>(LTV)</w:t>
      </w:r>
    </w:p>
    <w:p w:rsidR="00E43833" w:rsidRPr="000D2FB1" w:rsidRDefault="00E43833" w:rsidP="00E43833">
      <w:pPr>
        <w:spacing w:after="0" w:line="240" w:lineRule="auto"/>
        <w:jc w:val="both"/>
        <w:rPr>
          <w:rFonts w:ascii="Times New Roman" w:hAnsi="Times New Roman" w:cs="Times New Roman"/>
          <w:b/>
        </w:rPr>
      </w:pPr>
    </w:p>
    <w:p w:rsidR="00E43833" w:rsidRPr="000D2FB1" w:rsidRDefault="00E43833" w:rsidP="00E43833">
      <w:pPr>
        <w:autoSpaceDE w:val="0"/>
        <w:autoSpaceDN w:val="0"/>
        <w:adjustRightInd w:val="0"/>
        <w:spacing w:after="0" w:line="240" w:lineRule="auto"/>
        <w:jc w:val="both"/>
        <w:rPr>
          <w:rFonts w:ascii="Times New Roman" w:hAnsi="Times New Roman" w:cs="Times New Roman"/>
        </w:rPr>
      </w:pPr>
      <w:r w:rsidRPr="000D2FB1">
        <w:rPr>
          <w:rFonts w:ascii="Times New Roman" w:hAnsi="Times New Roman" w:cs="Times New Roman"/>
          <w:b/>
          <w:sz w:val="24"/>
          <w:szCs w:val="24"/>
        </w:rPr>
        <w:tab/>
      </w:r>
      <w:r w:rsidRPr="000D2FB1">
        <w:rPr>
          <w:rFonts w:ascii="Times New Roman" w:hAnsi="Times New Roman" w:cs="Times New Roman"/>
        </w:rPr>
        <w:t xml:space="preserve">Menurut Surat Edaran Bank Indonesia No. 15/40/DKMPK </w:t>
      </w:r>
      <w:r w:rsidRPr="000D2FB1">
        <w:rPr>
          <w:rFonts w:ascii="Times New Roman" w:hAnsi="Times New Roman" w:cs="Times New Roman"/>
          <w:i/>
        </w:rPr>
        <w:t>Loan to Value</w:t>
      </w:r>
      <w:r w:rsidRPr="000D2FB1">
        <w:rPr>
          <w:rFonts w:ascii="Times New Roman" w:hAnsi="Times New Roman" w:cs="Times New Roman"/>
        </w:rPr>
        <w:t xml:space="preserve"> atau </w:t>
      </w:r>
      <w:r w:rsidRPr="000D2FB1">
        <w:rPr>
          <w:rFonts w:ascii="Times New Roman" w:hAnsi="Times New Roman" w:cs="Times New Roman"/>
          <w:i/>
        </w:rPr>
        <w:t>Financing to Value</w:t>
      </w:r>
      <w:r w:rsidRPr="000D2FB1">
        <w:rPr>
          <w:rFonts w:ascii="Times New Roman" w:hAnsi="Times New Roman" w:cs="Times New Roman"/>
        </w:rPr>
        <w:t xml:space="preserve">, yang selanjutnya disebut LTV atau FTV, adalah angka rasio antara nilai kredit atau pembiayaan yang dapat diberikan oleh Bank terhadap nilai agunan berupa properti pada saat pemberian kredit atau pembiayaan berdasarkan harga penilaian terakhir. Menurut Surat Edaran Bank Indonesia No. 14/10/DPNP Rasio </w:t>
      </w:r>
      <w:r w:rsidRPr="000D2FB1">
        <w:rPr>
          <w:rFonts w:ascii="Times New Roman" w:hAnsi="Times New Roman" w:cs="Times New Roman"/>
          <w:i/>
        </w:rPr>
        <w:t>Loan to Value</w:t>
      </w:r>
      <w:r w:rsidRPr="000D2FB1">
        <w:rPr>
          <w:rFonts w:ascii="Times New Roman" w:hAnsi="Times New Roman" w:cs="Times New Roman"/>
        </w:rPr>
        <w:t xml:space="preserve"> (LTV) merupakan angka rasio antara nilai kredit yang dapat diberikan oleh bank terhadap nilai agunan pada saat awalpemberian kredit.</w:t>
      </w:r>
    </w:p>
    <w:p w:rsidR="00E43833" w:rsidRPr="000D2FB1" w:rsidRDefault="00E43833" w:rsidP="000D2FB1">
      <w:pPr>
        <w:autoSpaceDE w:val="0"/>
        <w:autoSpaceDN w:val="0"/>
        <w:adjustRightInd w:val="0"/>
        <w:spacing w:after="0" w:line="240" w:lineRule="auto"/>
        <w:jc w:val="both"/>
        <w:rPr>
          <w:rFonts w:ascii="Times New Roman" w:hAnsi="Times New Roman" w:cs="Times New Roman"/>
          <w:sz w:val="24"/>
          <w:szCs w:val="24"/>
        </w:rPr>
      </w:pPr>
      <w:r w:rsidRPr="000D2FB1">
        <w:rPr>
          <w:rFonts w:ascii="Times New Roman" w:hAnsi="Times New Roman" w:cs="Times New Roman"/>
        </w:rPr>
        <w:tab/>
        <w:t>Menurut situs website (</w:t>
      </w:r>
      <w:hyperlink r:id="rId6" w:history="1">
        <w:r w:rsidRPr="000D2FB1">
          <w:rPr>
            <w:rStyle w:val="Hyperlink"/>
            <w:rFonts w:ascii="Times New Roman" w:hAnsi="Times New Roman" w:cs="Times New Roman"/>
            <w:color w:val="auto"/>
          </w:rPr>
          <w:t>http://micro-bank.blogspot.com/2009/05/loan-to-value-ltv.html</w:t>
        </w:r>
      </w:hyperlink>
      <w:r w:rsidRPr="000D2FB1">
        <w:t xml:space="preserve"> </w:t>
      </w:r>
      <w:r w:rsidRPr="000D2FB1">
        <w:rPr>
          <w:rFonts w:ascii="Times New Roman" w:hAnsi="Times New Roman" w:cs="Times New Roman"/>
        </w:rPr>
        <w:t>diunduh tanggal 09 November 2014) adalah sebuah dasar atau metode yang digunakan untuk menentukan seberapa besar pinjaman yang dapat diberikan kepada debitur berdasarkan aset yang dijadikan jaminan</w:t>
      </w:r>
      <w:r w:rsidRPr="000D2FB1">
        <w:rPr>
          <w:rFonts w:ascii="Times New Roman" w:hAnsi="Times New Roman" w:cs="Times New Roman"/>
          <w:sz w:val="24"/>
          <w:szCs w:val="24"/>
        </w:rPr>
        <w:t>.</w:t>
      </w:r>
    </w:p>
    <w:p w:rsidR="000D2FB1" w:rsidRPr="000D2FB1" w:rsidRDefault="000D2FB1" w:rsidP="000D2FB1">
      <w:pPr>
        <w:autoSpaceDE w:val="0"/>
        <w:autoSpaceDN w:val="0"/>
        <w:adjustRightInd w:val="0"/>
        <w:spacing w:after="0" w:line="240" w:lineRule="auto"/>
        <w:jc w:val="both"/>
        <w:rPr>
          <w:rFonts w:ascii="Times New Roman" w:hAnsi="Times New Roman" w:cs="Times New Roman"/>
          <w:sz w:val="24"/>
          <w:szCs w:val="24"/>
        </w:rPr>
      </w:pPr>
    </w:p>
    <w:p w:rsidR="000D2FB1" w:rsidRPr="000D2FB1" w:rsidRDefault="000D2FB1" w:rsidP="000D2FB1">
      <w:pPr>
        <w:spacing w:after="0" w:line="240" w:lineRule="auto"/>
        <w:jc w:val="both"/>
        <w:rPr>
          <w:rFonts w:ascii="Times New Roman" w:hAnsi="Times New Roman" w:cs="Times New Roman"/>
          <w:b/>
        </w:rPr>
      </w:pPr>
      <w:r w:rsidRPr="000D2FB1">
        <w:rPr>
          <w:rFonts w:ascii="Times New Roman" w:hAnsi="Times New Roman" w:cs="Times New Roman"/>
          <w:b/>
        </w:rPr>
        <w:t>Manajemen Risiko dalam Peraturan Bank Indonesia No. 11/25/PBI/2009 yang Terkait dengan Penelitian.</w:t>
      </w:r>
    </w:p>
    <w:p w:rsidR="000D2FB1" w:rsidRPr="000D2FB1" w:rsidRDefault="000D2FB1" w:rsidP="000D2FB1">
      <w:pPr>
        <w:spacing w:after="0" w:line="240" w:lineRule="auto"/>
        <w:jc w:val="both"/>
        <w:rPr>
          <w:rFonts w:ascii="Times New Roman" w:hAnsi="Times New Roman" w:cs="Times New Roman"/>
          <w:b/>
        </w:rPr>
      </w:pPr>
    </w:p>
    <w:p w:rsidR="000D2FB1" w:rsidRPr="000D2FB1" w:rsidRDefault="000D2FB1" w:rsidP="000D2FB1">
      <w:pPr>
        <w:spacing w:after="0" w:line="240" w:lineRule="auto"/>
        <w:ind w:firstLine="720"/>
        <w:jc w:val="both"/>
        <w:rPr>
          <w:rFonts w:ascii="Times New Roman" w:hAnsi="Times New Roman" w:cs="Times New Roman"/>
        </w:rPr>
      </w:pPr>
      <w:r w:rsidRPr="000D2FB1">
        <w:rPr>
          <w:rFonts w:ascii="Times New Roman" w:hAnsi="Times New Roman" w:cs="Times New Roman"/>
        </w:rPr>
        <w:t>Risiko yang terkait dari aktivitas Kredit Pemilikan Properti dalam Peraturan Bank Indonesia  No. 11/25/PBI/2009 yaitu tercantum dalam pasal 4 yaitu risiko kredit dan risiko likuiditas.</w:t>
      </w:r>
    </w:p>
    <w:p w:rsidR="000D2FB1" w:rsidRPr="000D2FB1" w:rsidRDefault="000D2FB1" w:rsidP="000D2FB1">
      <w:pPr>
        <w:pStyle w:val="ListParagraph"/>
        <w:numPr>
          <w:ilvl w:val="1"/>
          <w:numId w:val="2"/>
        </w:numPr>
        <w:spacing w:after="0" w:line="240" w:lineRule="auto"/>
        <w:ind w:left="284" w:hanging="284"/>
        <w:jc w:val="both"/>
        <w:rPr>
          <w:rFonts w:ascii="Times New Roman" w:hAnsi="Times New Roman" w:cs="Times New Roman"/>
        </w:rPr>
      </w:pPr>
      <w:r w:rsidRPr="000D2FB1">
        <w:rPr>
          <w:rFonts w:ascii="Times New Roman" w:hAnsi="Times New Roman" w:cs="Times New Roman"/>
        </w:rPr>
        <w:t>Risiko Kredit</w:t>
      </w:r>
    </w:p>
    <w:p w:rsidR="000D2FB1" w:rsidRPr="000D2FB1" w:rsidRDefault="000D2FB1" w:rsidP="000D2FB1">
      <w:pPr>
        <w:spacing w:after="0" w:line="240" w:lineRule="auto"/>
        <w:ind w:left="284"/>
        <w:jc w:val="both"/>
        <w:rPr>
          <w:rFonts w:ascii="Times New Roman" w:hAnsi="Times New Roman" w:cs="Times New Roman"/>
        </w:rPr>
      </w:pPr>
      <w:r w:rsidRPr="000D2FB1">
        <w:rPr>
          <w:rFonts w:ascii="Times New Roman" w:hAnsi="Times New Roman" w:cs="Times New Roman"/>
        </w:rPr>
        <w:t>Risiko kredit adalah risiko akibat kegagalan debitur dan atau pihak lain  kewajiban pada bank. Risiko kredit dapat dibedakan yaitu risiko kredit jangka pendek dan risiko kredit jangka panjang.</w:t>
      </w:r>
    </w:p>
    <w:p w:rsidR="000D2FB1" w:rsidRPr="000D2FB1" w:rsidRDefault="000D2FB1" w:rsidP="000D2FB1">
      <w:pPr>
        <w:pStyle w:val="ListParagraph"/>
        <w:numPr>
          <w:ilvl w:val="0"/>
          <w:numId w:val="3"/>
        </w:numPr>
        <w:spacing w:after="0" w:line="240" w:lineRule="auto"/>
        <w:ind w:left="709" w:hanging="425"/>
        <w:jc w:val="both"/>
        <w:rPr>
          <w:rFonts w:ascii="Times New Roman" w:hAnsi="Times New Roman" w:cs="Times New Roman"/>
        </w:rPr>
      </w:pPr>
      <w:r w:rsidRPr="000D2FB1">
        <w:rPr>
          <w:rFonts w:ascii="Times New Roman" w:hAnsi="Times New Roman" w:cs="Times New Roman"/>
        </w:rPr>
        <w:t xml:space="preserve">Risiko yang bersifat jangka pendek </w:t>
      </w:r>
      <w:r w:rsidRPr="000D2FB1">
        <w:rPr>
          <w:rFonts w:ascii="Times New Roman" w:hAnsi="Times New Roman" w:cs="Times New Roman"/>
          <w:i/>
          <w:iCs/>
        </w:rPr>
        <w:t>(short term risk</w:t>
      </w:r>
      <w:r w:rsidRPr="000D2FB1">
        <w:rPr>
          <w:rFonts w:ascii="Times New Roman" w:hAnsi="Times New Roman" w:cs="Times New Roman"/>
        </w:rPr>
        <w:t>) adalah resiko yang disebabkan karena ketidak mampuan suatu perusahaan memenuhi dan menyelesaikan kewajiban yang bersifat jangka pendek.</w:t>
      </w:r>
    </w:p>
    <w:p w:rsidR="000D2FB1" w:rsidRPr="000D2FB1" w:rsidRDefault="000D2FB1" w:rsidP="000D2FB1">
      <w:pPr>
        <w:pStyle w:val="ListParagraph"/>
        <w:numPr>
          <w:ilvl w:val="0"/>
          <w:numId w:val="3"/>
        </w:numPr>
        <w:spacing w:after="0" w:line="240" w:lineRule="auto"/>
        <w:jc w:val="both"/>
        <w:rPr>
          <w:rFonts w:ascii="Times New Roman" w:hAnsi="Times New Roman" w:cs="Times New Roman"/>
        </w:rPr>
      </w:pPr>
      <w:r w:rsidRPr="000D2FB1">
        <w:rPr>
          <w:rFonts w:ascii="Times New Roman" w:hAnsi="Times New Roman" w:cs="Times New Roman"/>
        </w:rPr>
        <w:t>Risiko yang bersifat jangka panjang (</w:t>
      </w:r>
      <w:r w:rsidRPr="000D2FB1">
        <w:rPr>
          <w:rFonts w:ascii="Times New Roman" w:hAnsi="Times New Roman" w:cs="Times New Roman"/>
          <w:i/>
          <w:iCs/>
        </w:rPr>
        <w:t>long term risk</w:t>
      </w:r>
      <w:r w:rsidRPr="000D2FB1">
        <w:rPr>
          <w:rFonts w:ascii="Times New Roman" w:hAnsi="Times New Roman" w:cs="Times New Roman"/>
        </w:rPr>
        <w:t xml:space="preserve">) adalah ketidak mampuan suatu perusahaan menyelesaikan kewajiban jangka panjangnya </w:t>
      </w:r>
    </w:p>
    <w:p w:rsidR="000D2FB1" w:rsidRPr="000D2FB1" w:rsidRDefault="000D2FB1" w:rsidP="000D2FB1">
      <w:pPr>
        <w:pStyle w:val="ListParagraph"/>
        <w:numPr>
          <w:ilvl w:val="1"/>
          <w:numId w:val="2"/>
        </w:numPr>
        <w:spacing w:after="0" w:line="240" w:lineRule="auto"/>
        <w:ind w:left="284" w:hanging="284"/>
        <w:jc w:val="both"/>
        <w:rPr>
          <w:rFonts w:ascii="Times New Roman" w:hAnsi="Times New Roman" w:cs="Times New Roman"/>
        </w:rPr>
      </w:pPr>
      <w:r w:rsidRPr="000D2FB1">
        <w:rPr>
          <w:rFonts w:ascii="Times New Roman" w:hAnsi="Times New Roman" w:cs="Times New Roman"/>
        </w:rPr>
        <w:t xml:space="preserve">Risiko Likuiditas </w:t>
      </w:r>
    </w:p>
    <w:p w:rsidR="000D2FB1" w:rsidRPr="000D2FB1" w:rsidRDefault="000D2FB1" w:rsidP="000D2FB1">
      <w:pPr>
        <w:spacing w:after="0" w:line="240" w:lineRule="auto"/>
        <w:ind w:left="284"/>
        <w:jc w:val="both"/>
        <w:rPr>
          <w:rFonts w:ascii="Times New Roman" w:hAnsi="Times New Roman" w:cs="Times New Roman"/>
        </w:rPr>
      </w:pPr>
      <w:r w:rsidRPr="000D2FB1">
        <w:rPr>
          <w:rFonts w:ascii="Times New Roman" w:hAnsi="Times New Roman" w:cs="Times New Roman"/>
        </w:rPr>
        <w:t>Risiko Likuiditas adalah risiko akibat ketidak mampuan bank untuk memenuhi kewajiban yang jatuh tempo dari sumber pendanaan arus kas dan/atau dari aset likuid berkualitas tinggi yang dapat diagunkan, tanpa mengganggu aktivitas dan kondisi keuangan bank.</w:t>
      </w:r>
    </w:p>
    <w:p w:rsidR="000D2FB1" w:rsidRDefault="000D2FB1" w:rsidP="000D2FB1">
      <w:pPr>
        <w:spacing w:after="0" w:line="240" w:lineRule="auto"/>
        <w:rPr>
          <w:rFonts w:ascii="Times New Roman" w:hAnsi="Times New Roman" w:cs="Times New Roman"/>
          <w:b/>
        </w:rPr>
      </w:pPr>
    </w:p>
    <w:p w:rsidR="000D2FB1" w:rsidRDefault="000D2FB1" w:rsidP="000D2FB1">
      <w:pPr>
        <w:spacing w:after="0" w:line="240" w:lineRule="auto"/>
        <w:rPr>
          <w:rFonts w:ascii="Times New Roman" w:hAnsi="Times New Roman" w:cs="Times New Roman"/>
          <w:b/>
        </w:rPr>
      </w:pPr>
      <w:r>
        <w:rPr>
          <w:rFonts w:ascii="Times New Roman" w:hAnsi="Times New Roman" w:cs="Times New Roman"/>
          <w:b/>
        </w:rPr>
        <w:t>ISI MAKALAH</w:t>
      </w:r>
    </w:p>
    <w:p w:rsidR="000D2FB1" w:rsidRDefault="000D2FB1" w:rsidP="000D2FB1">
      <w:pPr>
        <w:spacing w:after="0" w:line="240" w:lineRule="auto"/>
        <w:rPr>
          <w:rFonts w:ascii="Times New Roman" w:hAnsi="Times New Roman" w:cs="Times New Roman"/>
          <w:b/>
        </w:rPr>
      </w:pPr>
    </w:p>
    <w:p w:rsidR="00962D58" w:rsidRDefault="000D2FB1" w:rsidP="00962D58">
      <w:pPr>
        <w:pStyle w:val="ListParagraph"/>
        <w:numPr>
          <w:ilvl w:val="0"/>
          <w:numId w:val="6"/>
        </w:numPr>
        <w:spacing w:after="0" w:line="240" w:lineRule="auto"/>
        <w:ind w:left="284" w:hanging="284"/>
        <w:jc w:val="both"/>
        <w:rPr>
          <w:rFonts w:ascii="Times New Roman" w:hAnsi="Times New Roman" w:cs="Times New Roman"/>
          <w:b/>
        </w:rPr>
      </w:pPr>
      <w:r w:rsidRPr="000D2FB1">
        <w:rPr>
          <w:rFonts w:ascii="Times New Roman" w:hAnsi="Times New Roman" w:cs="Times New Roman"/>
          <w:b/>
        </w:rPr>
        <w:t xml:space="preserve">Penerapan </w:t>
      </w:r>
      <w:r w:rsidRPr="000D2FB1">
        <w:rPr>
          <w:rFonts w:ascii="Times New Roman" w:hAnsi="Times New Roman" w:cs="Times New Roman"/>
          <w:b/>
          <w:i/>
        </w:rPr>
        <w:t>Loan to Value</w:t>
      </w:r>
      <w:r w:rsidRPr="000D2FB1">
        <w:rPr>
          <w:rFonts w:ascii="Times New Roman" w:hAnsi="Times New Roman" w:cs="Times New Roman"/>
          <w:b/>
        </w:rPr>
        <w:t xml:space="preserve"> (LTV) Sebelum dan Sesudah Peraturan Bank Indonesia No.11/25/PBI/2009</w:t>
      </w:r>
    </w:p>
    <w:p w:rsidR="00962D58" w:rsidRPr="00962D58" w:rsidRDefault="00962D58" w:rsidP="00962D58">
      <w:pPr>
        <w:pStyle w:val="ListParagraph"/>
        <w:spacing w:after="0" w:line="240" w:lineRule="auto"/>
        <w:ind w:left="284"/>
        <w:jc w:val="both"/>
        <w:rPr>
          <w:rFonts w:ascii="Times New Roman" w:hAnsi="Times New Roman" w:cs="Times New Roman"/>
          <w:b/>
        </w:rPr>
      </w:pPr>
    </w:p>
    <w:p w:rsidR="00962D58" w:rsidRPr="000D2FB1" w:rsidRDefault="000D2FB1" w:rsidP="00962D58">
      <w:pPr>
        <w:spacing w:after="0" w:line="240" w:lineRule="auto"/>
        <w:ind w:left="284" w:hanging="284"/>
        <w:jc w:val="both"/>
        <w:rPr>
          <w:rFonts w:ascii="Times New Roman" w:hAnsi="Times New Roman" w:cs="Times New Roman"/>
          <w:b/>
        </w:rPr>
      </w:pPr>
      <w:r w:rsidRPr="000D2FB1">
        <w:rPr>
          <w:rFonts w:ascii="Times New Roman" w:hAnsi="Times New Roman" w:cs="Times New Roman"/>
          <w:b/>
        </w:rPr>
        <w:t xml:space="preserve">Penerapan </w:t>
      </w:r>
      <w:r w:rsidRPr="000D2FB1">
        <w:rPr>
          <w:rFonts w:ascii="Times New Roman" w:hAnsi="Times New Roman" w:cs="Times New Roman"/>
          <w:b/>
          <w:i/>
        </w:rPr>
        <w:t>Loan to Value</w:t>
      </w:r>
      <w:r w:rsidRPr="000D2FB1">
        <w:rPr>
          <w:rFonts w:ascii="Times New Roman" w:hAnsi="Times New Roman" w:cs="Times New Roman"/>
          <w:b/>
        </w:rPr>
        <w:t xml:space="preserve"> (LTV) Sebelum Peraturan Bank Indonesia No. 11/25/PBI/2009</w:t>
      </w:r>
    </w:p>
    <w:p w:rsidR="000D2FB1" w:rsidRPr="000D2FB1" w:rsidRDefault="000D2FB1" w:rsidP="000D2FB1">
      <w:pPr>
        <w:spacing w:after="0" w:line="240" w:lineRule="auto"/>
        <w:ind w:firstLine="720"/>
        <w:jc w:val="both"/>
        <w:rPr>
          <w:rFonts w:ascii="Times New Roman" w:hAnsi="Times New Roman" w:cs="Times New Roman"/>
          <w:iCs/>
        </w:rPr>
      </w:pPr>
      <w:r w:rsidRPr="000D2FB1">
        <w:rPr>
          <w:rFonts w:ascii="Times New Roman" w:hAnsi="Times New Roman" w:cs="Times New Roman"/>
          <w:iCs/>
        </w:rPr>
        <w:t xml:space="preserve">Sebelum ada Peraturan Bank Indonesia No. 11/25/PBI/2009 tentang penerapan Manajemen Risiko bagi Bank Umum, kebijakan tentang  </w:t>
      </w:r>
      <w:r w:rsidRPr="000D2FB1">
        <w:rPr>
          <w:rFonts w:ascii="Times New Roman" w:hAnsi="Times New Roman" w:cs="Times New Roman"/>
          <w:i/>
          <w:iCs/>
        </w:rPr>
        <w:t>Loan to Value</w:t>
      </w:r>
      <w:r w:rsidRPr="000D2FB1">
        <w:rPr>
          <w:rFonts w:ascii="Times New Roman" w:hAnsi="Times New Roman" w:cs="Times New Roman"/>
          <w:iCs/>
        </w:rPr>
        <w:t xml:space="preserve"> (LTV) di Indonesia sudah ada. Ketentuan tentang </w:t>
      </w:r>
      <w:r w:rsidRPr="000D2FB1">
        <w:rPr>
          <w:rFonts w:ascii="Times New Roman" w:hAnsi="Times New Roman" w:cs="Times New Roman"/>
          <w:i/>
          <w:iCs/>
        </w:rPr>
        <w:t>Loan to Value</w:t>
      </w:r>
      <w:r w:rsidRPr="000D2FB1">
        <w:rPr>
          <w:rFonts w:ascii="Times New Roman" w:hAnsi="Times New Roman" w:cs="Times New Roman"/>
          <w:iCs/>
        </w:rPr>
        <w:t xml:space="preserve"> (LTV) sebelumnya berinduk kepada Bank </w:t>
      </w:r>
      <w:r w:rsidRPr="000D2FB1">
        <w:rPr>
          <w:rFonts w:ascii="Times New Roman" w:hAnsi="Times New Roman" w:cs="Times New Roman"/>
          <w:iCs/>
        </w:rPr>
        <w:lastRenderedPageBreak/>
        <w:t xml:space="preserve">Indonesia, hal ini diterapkan agar tidak terjadi risiko kredit dan risiko likuiditas bagi bank yang menyalurkan kredit properti tetapi perbedaanya Bank Indonesia tidak menentukan batasan rasio dari </w:t>
      </w:r>
      <w:r w:rsidRPr="000D2FB1">
        <w:rPr>
          <w:rFonts w:ascii="Times New Roman" w:hAnsi="Times New Roman" w:cs="Times New Roman"/>
          <w:i/>
          <w:iCs/>
        </w:rPr>
        <w:t>Loan to Value</w:t>
      </w:r>
      <w:r w:rsidRPr="000D2FB1">
        <w:rPr>
          <w:rFonts w:ascii="Times New Roman" w:hAnsi="Times New Roman" w:cs="Times New Roman"/>
          <w:iCs/>
        </w:rPr>
        <w:t xml:space="preserve"> (LTV).</w:t>
      </w:r>
    </w:p>
    <w:p w:rsidR="000D2FB1" w:rsidRPr="000D2FB1" w:rsidRDefault="000D2FB1" w:rsidP="000D2FB1">
      <w:pPr>
        <w:spacing w:after="0" w:line="240" w:lineRule="auto"/>
        <w:ind w:firstLine="720"/>
        <w:jc w:val="both"/>
        <w:rPr>
          <w:rFonts w:ascii="Times New Roman" w:hAnsi="Times New Roman" w:cs="Times New Roman"/>
          <w:iCs/>
        </w:rPr>
      </w:pPr>
      <w:r w:rsidRPr="000D2FB1">
        <w:rPr>
          <w:rFonts w:ascii="Times New Roman" w:hAnsi="Times New Roman" w:cs="Times New Roman"/>
          <w:i/>
          <w:iCs/>
        </w:rPr>
        <w:t>Loan to Value</w:t>
      </w:r>
      <w:r w:rsidRPr="000D2FB1">
        <w:rPr>
          <w:rFonts w:ascii="Times New Roman" w:hAnsi="Times New Roman" w:cs="Times New Roman"/>
          <w:iCs/>
        </w:rPr>
        <w:t xml:space="preserve"> (LTV)</w:t>
      </w:r>
      <w:r>
        <w:rPr>
          <w:rFonts w:ascii="Times New Roman" w:hAnsi="Times New Roman" w:cs="Times New Roman"/>
          <w:iCs/>
        </w:rPr>
        <w:t xml:space="preserve"> </w:t>
      </w:r>
      <w:r w:rsidRPr="000D2FB1">
        <w:rPr>
          <w:rFonts w:ascii="Times New Roman" w:hAnsi="Times New Roman" w:cs="Times New Roman"/>
        </w:rPr>
        <w:t xml:space="preserve">adalah jumlah pinjaman yang dapat diberikan oleh bank terhadap nilai agunan. Sebelum </w:t>
      </w:r>
      <w:r w:rsidRPr="000D2FB1">
        <w:rPr>
          <w:rFonts w:ascii="Times New Roman" w:hAnsi="Times New Roman" w:cs="Times New Roman"/>
          <w:iCs/>
        </w:rPr>
        <w:t xml:space="preserve">ada Peraturan Bank Indonesia No. 11/25/PBI/2009 penentuan kebijakan penerapan </w:t>
      </w:r>
      <w:r w:rsidRPr="000D2FB1">
        <w:rPr>
          <w:rFonts w:ascii="Times New Roman" w:hAnsi="Times New Roman" w:cs="Times New Roman"/>
          <w:i/>
          <w:iCs/>
        </w:rPr>
        <w:t>Loan to Value</w:t>
      </w:r>
      <w:r w:rsidRPr="000D2FB1">
        <w:rPr>
          <w:rFonts w:ascii="Times New Roman" w:hAnsi="Times New Roman" w:cs="Times New Roman"/>
          <w:iCs/>
        </w:rPr>
        <w:t xml:space="preserve"> (LTV) berdasarkan ketentuan bank masing-masing belum di batasi oleh Bank Indonesia. Penentuannya berbeda-beda setiap bank tergantung SOP (</w:t>
      </w:r>
      <w:r w:rsidRPr="000D2FB1">
        <w:rPr>
          <w:rFonts w:ascii="Times New Roman" w:hAnsi="Times New Roman" w:cs="Times New Roman"/>
          <w:i/>
          <w:iCs/>
        </w:rPr>
        <w:t>Standar Operational Procedure)</w:t>
      </w:r>
      <w:r w:rsidRPr="000D2FB1">
        <w:rPr>
          <w:rFonts w:ascii="Times New Roman" w:hAnsi="Times New Roman" w:cs="Times New Roman"/>
          <w:iCs/>
        </w:rPr>
        <w:t xml:space="preserve"> bank tersebut.</w:t>
      </w:r>
    </w:p>
    <w:p w:rsidR="000D2FB1" w:rsidRPr="000D2FB1" w:rsidRDefault="000D2FB1" w:rsidP="000D2FB1">
      <w:pPr>
        <w:spacing w:after="0" w:line="240" w:lineRule="auto"/>
        <w:ind w:firstLine="720"/>
        <w:jc w:val="both"/>
        <w:rPr>
          <w:rFonts w:ascii="Times New Roman" w:hAnsi="Times New Roman" w:cs="Times New Roman"/>
          <w:iCs/>
        </w:rPr>
      </w:pPr>
      <w:r w:rsidRPr="000D2FB1">
        <w:rPr>
          <w:rFonts w:ascii="Times New Roman" w:hAnsi="Times New Roman" w:cs="Times New Roman"/>
          <w:iCs/>
        </w:rPr>
        <w:t xml:space="preserve">Umumnya penentuan </w:t>
      </w:r>
      <w:r w:rsidRPr="000D2FB1">
        <w:rPr>
          <w:rFonts w:ascii="Times New Roman" w:hAnsi="Times New Roman" w:cs="Times New Roman"/>
          <w:i/>
          <w:iCs/>
        </w:rPr>
        <w:t>Loan to Value</w:t>
      </w:r>
      <w:r w:rsidRPr="000D2FB1">
        <w:rPr>
          <w:rFonts w:ascii="Times New Roman" w:hAnsi="Times New Roman" w:cs="Times New Roman"/>
          <w:iCs/>
        </w:rPr>
        <w:t xml:space="preserve"> (LTV) di Bank BCA, BTN, Mandiri, Panin Bank sebagai berikut:</w:t>
      </w:r>
    </w:p>
    <w:p w:rsidR="000D2FB1" w:rsidRPr="000D2FB1" w:rsidRDefault="000D2FB1" w:rsidP="000D2FB1">
      <w:pPr>
        <w:pStyle w:val="ListParagraph"/>
        <w:numPr>
          <w:ilvl w:val="0"/>
          <w:numId w:val="4"/>
        </w:numPr>
        <w:spacing w:after="0" w:line="240" w:lineRule="auto"/>
        <w:ind w:left="284" w:hanging="284"/>
        <w:jc w:val="both"/>
        <w:rPr>
          <w:rFonts w:ascii="Times New Roman" w:hAnsi="Times New Roman" w:cs="Times New Roman"/>
          <w:iCs/>
        </w:rPr>
      </w:pPr>
      <w:r w:rsidRPr="000D2FB1">
        <w:rPr>
          <w:rFonts w:ascii="Times New Roman" w:hAnsi="Times New Roman" w:cs="Times New Roman"/>
          <w:iCs/>
        </w:rPr>
        <w:t>Nilai Pasar</w:t>
      </w:r>
    </w:p>
    <w:p w:rsidR="000D2FB1" w:rsidRPr="000D2FB1" w:rsidRDefault="000D2FB1" w:rsidP="000D2FB1">
      <w:pPr>
        <w:spacing w:after="0" w:line="240" w:lineRule="auto"/>
        <w:ind w:left="284"/>
        <w:jc w:val="both"/>
        <w:rPr>
          <w:rFonts w:ascii="Times New Roman" w:hAnsi="Times New Roman" w:cs="Times New Roman"/>
          <w:iCs/>
        </w:rPr>
      </w:pPr>
      <w:r w:rsidRPr="000D2FB1">
        <w:rPr>
          <w:rFonts w:ascii="Times New Roman" w:hAnsi="Times New Roman" w:cs="Times New Roman"/>
          <w:iCs/>
        </w:rPr>
        <w:t>Nilai pasar yang dimaksud disini adalah nilai yang sesuai dengan harga properti yang ada di pasar properti. Menyesuaikan dengan kondisi yang ada di pasaran.</w:t>
      </w:r>
    </w:p>
    <w:p w:rsidR="000D2FB1" w:rsidRPr="000D2FB1" w:rsidRDefault="000D2FB1" w:rsidP="000D2FB1">
      <w:pPr>
        <w:pStyle w:val="ListParagraph"/>
        <w:numPr>
          <w:ilvl w:val="0"/>
          <w:numId w:val="4"/>
        </w:numPr>
        <w:spacing w:after="0" w:line="240" w:lineRule="auto"/>
        <w:ind w:left="284" w:hanging="284"/>
        <w:jc w:val="both"/>
        <w:rPr>
          <w:rFonts w:ascii="Times New Roman" w:hAnsi="Times New Roman" w:cs="Times New Roman"/>
          <w:iCs/>
        </w:rPr>
      </w:pPr>
      <w:r w:rsidRPr="000D2FB1">
        <w:rPr>
          <w:rFonts w:ascii="Times New Roman" w:hAnsi="Times New Roman" w:cs="Times New Roman"/>
          <w:iCs/>
        </w:rPr>
        <w:t>Nilai Likuiditas dari Jaminan</w:t>
      </w:r>
    </w:p>
    <w:p w:rsidR="000D2FB1" w:rsidRPr="000D2FB1" w:rsidRDefault="000D2FB1" w:rsidP="000D2FB1">
      <w:pPr>
        <w:spacing w:after="0" w:line="240" w:lineRule="auto"/>
        <w:ind w:left="284"/>
        <w:jc w:val="both"/>
        <w:rPr>
          <w:rFonts w:ascii="Times New Roman" w:hAnsi="Times New Roman" w:cs="Times New Roman"/>
          <w:iCs/>
        </w:rPr>
      </w:pPr>
      <w:r w:rsidRPr="000D2FB1">
        <w:rPr>
          <w:rFonts w:ascii="Times New Roman" w:hAnsi="Times New Roman" w:cs="Times New Roman"/>
          <w:iCs/>
        </w:rPr>
        <w:t>Nilai likuiditas disini tergantung sesuai dengan kondisi agunan yang menjadi jaminan dalam kredit properti. Disini bank tidak akan mengcover keseluruhan karna bank mempertimbangkan dari harga jual properti yang menjadi agunan sesuai dengan kondisi dan nilai pasar pada waktu itu.</w:t>
      </w:r>
      <w:r w:rsidRPr="000D2FB1">
        <w:rPr>
          <w:rFonts w:ascii="Times New Roman" w:hAnsi="Times New Roman" w:cs="Times New Roman"/>
          <w:iCs/>
        </w:rPr>
        <w:tab/>
      </w:r>
    </w:p>
    <w:p w:rsidR="000D2FB1" w:rsidRPr="000D2FB1" w:rsidRDefault="000D2FB1" w:rsidP="000D2FB1">
      <w:pPr>
        <w:spacing w:after="0" w:line="240" w:lineRule="auto"/>
        <w:ind w:firstLine="720"/>
        <w:jc w:val="both"/>
        <w:rPr>
          <w:rFonts w:ascii="Times New Roman" w:hAnsi="Times New Roman" w:cs="Times New Roman"/>
        </w:rPr>
      </w:pPr>
      <w:r w:rsidRPr="000D2FB1">
        <w:rPr>
          <w:rFonts w:ascii="Times New Roman" w:hAnsi="Times New Roman" w:cs="Times New Roman"/>
        </w:rPr>
        <w:t xml:space="preserve">Penerapan </w:t>
      </w:r>
      <w:r w:rsidRPr="000D2FB1">
        <w:rPr>
          <w:rFonts w:ascii="Times New Roman" w:hAnsi="Times New Roman" w:cs="Times New Roman"/>
          <w:i/>
        </w:rPr>
        <w:t>Loan to Value</w:t>
      </w:r>
      <w:r w:rsidRPr="000D2FB1">
        <w:rPr>
          <w:rFonts w:ascii="Times New Roman" w:hAnsi="Times New Roman" w:cs="Times New Roman"/>
        </w:rPr>
        <w:t xml:space="preserve"> (LTV) sebelum ada Peraturan Bank Indonesia No. 11/25/PBI/2009 setiap bank sama mengacu pada nilai pasar dan nilai likuiditas dari jaminan tetapi rasionya berbeda sesuai penilaian tim </w:t>
      </w:r>
      <w:r w:rsidRPr="000D2FB1">
        <w:rPr>
          <w:rFonts w:ascii="Times New Roman" w:hAnsi="Times New Roman" w:cs="Times New Roman"/>
          <w:i/>
        </w:rPr>
        <w:t>apprasial</w:t>
      </w:r>
      <w:r w:rsidRPr="000D2FB1">
        <w:rPr>
          <w:rFonts w:ascii="Times New Roman" w:hAnsi="Times New Roman" w:cs="Times New Roman"/>
        </w:rPr>
        <w:t xml:space="preserve"> bank masing-masing.</w:t>
      </w:r>
    </w:p>
    <w:p w:rsidR="000D2FB1" w:rsidRPr="00962D58" w:rsidRDefault="000D2FB1" w:rsidP="00962D58">
      <w:pPr>
        <w:spacing w:after="0" w:line="240" w:lineRule="auto"/>
        <w:rPr>
          <w:rFonts w:ascii="Times New Roman" w:hAnsi="Times New Roman" w:cs="Times New Roman"/>
          <w:b/>
        </w:rPr>
      </w:pPr>
    </w:p>
    <w:p w:rsidR="000D2FB1" w:rsidRDefault="000D2FB1" w:rsidP="00962D58">
      <w:pPr>
        <w:tabs>
          <w:tab w:val="left" w:pos="709"/>
        </w:tabs>
        <w:spacing w:after="0" w:line="240" w:lineRule="auto"/>
        <w:ind w:left="567" w:hanging="567"/>
        <w:jc w:val="both"/>
        <w:rPr>
          <w:rFonts w:ascii="Times New Roman" w:hAnsi="Times New Roman" w:cs="Times New Roman"/>
          <w:b/>
        </w:rPr>
      </w:pPr>
      <w:r w:rsidRPr="00962D58">
        <w:rPr>
          <w:rFonts w:ascii="Times New Roman" w:hAnsi="Times New Roman" w:cs="Times New Roman"/>
          <w:b/>
        </w:rPr>
        <w:t xml:space="preserve">Penerapan </w:t>
      </w:r>
      <w:r w:rsidRPr="00962D58">
        <w:rPr>
          <w:rFonts w:ascii="Times New Roman" w:hAnsi="Times New Roman" w:cs="Times New Roman"/>
          <w:b/>
          <w:i/>
        </w:rPr>
        <w:t>Loan to Value</w:t>
      </w:r>
      <w:r w:rsidRPr="00962D58">
        <w:rPr>
          <w:rFonts w:ascii="Times New Roman" w:hAnsi="Times New Roman" w:cs="Times New Roman"/>
          <w:b/>
        </w:rPr>
        <w:t xml:space="preserve"> (LTV) Sesudah Peraturan Bank Indonesia No. 11/25/PBI/2009</w:t>
      </w:r>
    </w:p>
    <w:p w:rsidR="00962D58" w:rsidRPr="00962D58" w:rsidRDefault="00962D58" w:rsidP="00962D58">
      <w:pPr>
        <w:tabs>
          <w:tab w:val="left" w:pos="709"/>
        </w:tabs>
        <w:spacing w:after="0" w:line="240" w:lineRule="auto"/>
        <w:ind w:left="567" w:hanging="567"/>
        <w:jc w:val="both"/>
        <w:rPr>
          <w:rFonts w:ascii="Times New Roman" w:hAnsi="Times New Roman" w:cs="Times New Roman"/>
          <w:b/>
        </w:rPr>
      </w:pPr>
    </w:p>
    <w:p w:rsidR="000D2FB1" w:rsidRPr="00962D58" w:rsidRDefault="000D2FB1" w:rsidP="00962D58">
      <w:pPr>
        <w:spacing w:after="0" w:line="240" w:lineRule="auto"/>
        <w:ind w:firstLine="720"/>
        <w:jc w:val="both"/>
        <w:rPr>
          <w:rFonts w:ascii="Times New Roman" w:hAnsi="Times New Roman" w:cs="Times New Roman"/>
        </w:rPr>
      </w:pPr>
      <w:r w:rsidRPr="00962D58">
        <w:rPr>
          <w:rFonts w:ascii="Times New Roman" w:hAnsi="Times New Roman" w:cs="Times New Roman"/>
        </w:rPr>
        <w:t xml:space="preserve">Peraturan Bank Indonesia No. 11/25/PBI/2009 tentang penerapan manajemen risiko bagi bank umum diantaranya mengatur tentang </w:t>
      </w:r>
      <w:r w:rsidRPr="00962D58">
        <w:rPr>
          <w:rFonts w:ascii="Times New Roman" w:hAnsi="Times New Roman" w:cs="Times New Roman"/>
          <w:i/>
        </w:rPr>
        <w:t>Loan to Value</w:t>
      </w:r>
      <w:r w:rsidRPr="00962D58">
        <w:rPr>
          <w:rFonts w:ascii="Times New Roman" w:hAnsi="Times New Roman" w:cs="Times New Roman"/>
        </w:rPr>
        <w:t xml:space="preserve"> (LTV) yang tercantum dalam Surat Edaran Bank Indonesia. Hal ini mengingat adanya berbagai risiko yang melekat dalam pemberian kredit tersebut terutama dalam risiko kredit dan risiko likuiditas. Bank yang menyalurkan kredit properti setelah ada Peraturan Bank Indonesia mulai mengikuti peraturan tersebut dalam mengukur rasio </w:t>
      </w:r>
      <w:r w:rsidRPr="00962D58">
        <w:rPr>
          <w:rFonts w:ascii="Times New Roman" w:hAnsi="Times New Roman" w:cs="Times New Roman"/>
          <w:i/>
        </w:rPr>
        <w:t>Loan to Value</w:t>
      </w:r>
      <w:r w:rsidRPr="00962D58">
        <w:rPr>
          <w:rFonts w:ascii="Times New Roman" w:hAnsi="Times New Roman" w:cs="Times New Roman"/>
        </w:rPr>
        <w:t xml:space="preserve"> (LTV). Bank BCA, BTN, Mandiri, Panin sudah mengikuti peraturan yang dikeluarkan oleh bank Indonesia melalui Surat Edaran Bank Indonesia.</w:t>
      </w:r>
    </w:p>
    <w:p w:rsidR="000D2FB1" w:rsidRPr="00962D58" w:rsidRDefault="000D2FB1" w:rsidP="00962D58">
      <w:pPr>
        <w:spacing w:after="0" w:line="240" w:lineRule="auto"/>
        <w:ind w:firstLine="720"/>
        <w:jc w:val="both"/>
        <w:rPr>
          <w:rFonts w:ascii="Times New Roman" w:hAnsi="Times New Roman" w:cs="Times New Roman"/>
        </w:rPr>
      </w:pPr>
      <w:r w:rsidRPr="00962D58">
        <w:rPr>
          <w:rFonts w:ascii="Times New Roman" w:hAnsi="Times New Roman" w:cs="Times New Roman"/>
        </w:rPr>
        <w:t xml:space="preserve">Bank Indonesia melakukan penerapan ini agar kredit properti di Indonesia tidak mengalami gagal bayar seperti yang dialami negara Amerika. Maka  setelah adanya krisis di Amerika, Bank Indonesia mulai mengatur penerapan </w:t>
      </w:r>
      <w:r w:rsidRPr="00962D58">
        <w:rPr>
          <w:rFonts w:ascii="Times New Roman" w:hAnsi="Times New Roman" w:cs="Times New Roman"/>
          <w:i/>
        </w:rPr>
        <w:t xml:space="preserve">Loan to Value </w:t>
      </w:r>
      <w:r w:rsidRPr="00962D58">
        <w:rPr>
          <w:rFonts w:ascii="Times New Roman" w:hAnsi="Times New Roman" w:cs="Times New Roman"/>
        </w:rPr>
        <w:t xml:space="preserve">(LTV) bagi bank yang menyalurkan kredit properti. Peraturan tersebut tertuang dalam Surat Edaran Bank Indonesia yang menglami perubahan setiap tahunnya untuk menekan pertumbuhan kredit properti yang tinggi. Berikut ini adalah Peraturan Bank Indonesia yang mengatur tentang penerapan </w:t>
      </w:r>
      <w:r w:rsidRPr="00962D58">
        <w:rPr>
          <w:rFonts w:ascii="Times New Roman" w:hAnsi="Times New Roman" w:cs="Times New Roman"/>
          <w:i/>
        </w:rPr>
        <w:t>Loan to Value</w:t>
      </w:r>
      <w:r w:rsidRPr="00962D58">
        <w:rPr>
          <w:rFonts w:ascii="Times New Roman" w:hAnsi="Times New Roman" w:cs="Times New Roman"/>
        </w:rPr>
        <w:t xml:space="preserve"> (LTV) sesudah ada Peraturan Bank Indonesia No. 11/25/PBI/2009 :</w:t>
      </w:r>
    </w:p>
    <w:p w:rsidR="000D2FB1" w:rsidRPr="00962D58" w:rsidRDefault="000D2FB1" w:rsidP="00962D58">
      <w:pPr>
        <w:pStyle w:val="ListParagraph"/>
        <w:numPr>
          <w:ilvl w:val="0"/>
          <w:numId w:val="7"/>
        </w:numPr>
        <w:spacing w:after="0" w:line="240" w:lineRule="auto"/>
        <w:ind w:left="284" w:hanging="284"/>
        <w:jc w:val="both"/>
        <w:rPr>
          <w:rFonts w:ascii="Times New Roman" w:hAnsi="Times New Roman" w:cs="Times New Roman"/>
        </w:rPr>
      </w:pPr>
      <w:r w:rsidRPr="00962D58">
        <w:rPr>
          <w:rFonts w:ascii="Times New Roman" w:hAnsi="Times New Roman" w:cs="Times New Roman"/>
        </w:rPr>
        <w:t>Surat Edaran Bank Indonesia No. 12/38/DPNP tanggal 31 Desember 2010.</w:t>
      </w:r>
    </w:p>
    <w:p w:rsidR="000D2FB1" w:rsidRPr="00962D58" w:rsidRDefault="000D2FB1" w:rsidP="00962D58">
      <w:pPr>
        <w:spacing w:after="0" w:line="240" w:lineRule="auto"/>
        <w:ind w:left="284"/>
        <w:jc w:val="both"/>
        <w:rPr>
          <w:rFonts w:ascii="Times New Roman" w:hAnsi="Times New Roman" w:cs="Times New Roman"/>
        </w:rPr>
      </w:pPr>
      <w:r w:rsidRPr="00962D58">
        <w:rPr>
          <w:rFonts w:ascii="Times New Roman" w:hAnsi="Times New Roman" w:cs="Times New Roman"/>
        </w:rPr>
        <w:t xml:space="preserve">Perihal Pedoman Penyusunan </w:t>
      </w:r>
      <w:r w:rsidRPr="00962D58">
        <w:rPr>
          <w:rFonts w:ascii="Times New Roman" w:hAnsi="Times New Roman" w:cs="Times New Roman"/>
          <w:i/>
        </w:rPr>
        <w:t>Standard Operating Procedure Administrasi</w:t>
      </w:r>
      <w:r w:rsidRPr="00962D58">
        <w:rPr>
          <w:rFonts w:ascii="Times New Roman" w:hAnsi="Times New Roman" w:cs="Times New Roman"/>
        </w:rPr>
        <w:t xml:space="preserve"> Kredit Pemilikan Rumah dalam Rangka sekuritasi. Surat Edaran Bank Indonesia ini mengatur tentang rasio </w:t>
      </w:r>
      <w:r w:rsidRPr="00962D58">
        <w:rPr>
          <w:rFonts w:ascii="Times New Roman" w:hAnsi="Times New Roman" w:cs="Times New Roman"/>
          <w:i/>
        </w:rPr>
        <w:t>Loan to Value</w:t>
      </w:r>
      <w:r w:rsidRPr="00962D58">
        <w:rPr>
          <w:rFonts w:ascii="Times New Roman" w:hAnsi="Times New Roman" w:cs="Times New Roman"/>
        </w:rPr>
        <w:t xml:space="preserve"> (LTV) yaitu:</w:t>
      </w:r>
    </w:p>
    <w:p w:rsidR="000D2FB1" w:rsidRPr="00962D58" w:rsidRDefault="000D2FB1" w:rsidP="00962D58">
      <w:pPr>
        <w:pStyle w:val="ListParagraph"/>
        <w:numPr>
          <w:ilvl w:val="0"/>
          <w:numId w:val="8"/>
        </w:numPr>
        <w:spacing w:after="0" w:line="240" w:lineRule="auto"/>
        <w:ind w:left="709" w:hanging="425"/>
        <w:jc w:val="both"/>
        <w:rPr>
          <w:rFonts w:ascii="Times New Roman" w:hAnsi="Times New Roman" w:cs="Times New Roman"/>
        </w:rPr>
      </w:pPr>
      <w:r w:rsidRPr="00962D58">
        <w:rPr>
          <w:rFonts w:ascii="Times New Roman" w:hAnsi="Times New Roman" w:cs="Times New Roman"/>
        </w:rPr>
        <w:t>Porsi pemberian KPR oleh Bank paling tinggi sebesar 80% (delapan puluh per seratus) dari harga jual tanah dan bangunan,sehingga angka rasio antara jumlah maksimum KPR yang diberikan bank terhadap nilai agunan (</w:t>
      </w:r>
      <w:r w:rsidRPr="00962D58">
        <w:rPr>
          <w:rFonts w:ascii="Times New Roman" w:hAnsi="Times New Roman" w:cs="Times New Roman"/>
          <w:i/>
        </w:rPr>
        <w:t>Loan to Value Ratio</w:t>
      </w:r>
      <w:r w:rsidRPr="00962D58">
        <w:rPr>
          <w:rFonts w:ascii="Times New Roman" w:hAnsi="Times New Roman" w:cs="Times New Roman"/>
        </w:rPr>
        <w:t>) paling</w:t>
      </w:r>
      <w:r w:rsidR="00962D58">
        <w:rPr>
          <w:rFonts w:ascii="Times New Roman" w:hAnsi="Times New Roman" w:cs="Times New Roman"/>
        </w:rPr>
        <w:t xml:space="preserve"> </w:t>
      </w:r>
      <w:r w:rsidRPr="00962D58">
        <w:rPr>
          <w:rFonts w:ascii="Times New Roman" w:hAnsi="Times New Roman" w:cs="Times New Roman"/>
        </w:rPr>
        <w:t>tinggi adalah 80% (delapan puluh per seratus).</w:t>
      </w:r>
    </w:p>
    <w:p w:rsidR="00962D58" w:rsidRDefault="000D2FB1" w:rsidP="00962D58">
      <w:pPr>
        <w:pStyle w:val="ListParagraph"/>
        <w:numPr>
          <w:ilvl w:val="0"/>
          <w:numId w:val="8"/>
        </w:numPr>
        <w:spacing w:after="0" w:line="240" w:lineRule="auto"/>
        <w:ind w:left="709" w:hanging="425"/>
        <w:jc w:val="both"/>
        <w:rPr>
          <w:rFonts w:ascii="Times New Roman" w:hAnsi="Times New Roman" w:cs="Times New Roman"/>
        </w:rPr>
      </w:pPr>
      <w:r w:rsidRPr="00962D58">
        <w:rPr>
          <w:rFonts w:ascii="Times New Roman" w:hAnsi="Times New Roman" w:cs="Times New Roman"/>
        </w:rPr>
        <w:t xml:space="preserve">Formula untuk penetapan jumlah maksimum KPR sebagai berikut : </w:t>
      </w:r>
      <w:r w:rsidRPr="00962D58">
        <w:rPr>
          <w:rFonts w:ascii="Times New Roman" w:hAnsi="Times New Roman" w:cs="Times New Roman"/>
        </w:rPr>
        <w:tab/>
      </w:r>
    </w:p>
    <w:p w:rsidR="000D2FB1" w:rsidRPr="00962D58" w:rsidRDefault="000D2FB1" w:rsidP="00962D58">
      <w:pPr>
        <w:pStyle w:val="ListParagraph"/>
        <w:spacing w:after="0" w:line="240" w:lineRule="auto"/>
        <w:ind w:left="709"/>
        <w:jc w:val="both"/>
        <w:rPr>
          <w:rFonts w:ascii="Times New Roman" w:hAnsi="Times New Roman" w:cs="Times New Roman"/>
        </w:rPr>
      </w:pPr>
      <w:r w:rsidRPr="00962D58">
        <w:rPr>
          <w:rFonts w:ascii="Times New Roman" w:hAnsi="Times New Roman" w:cs="Times New Roman"/>
        </w:rPr>
        <w:t>Jumlah Maksimum KP</w:t>
      </w:r>
      <w:r w:rsidR="00962D58">
        <w:rPr>
          <w:rFonts w:ascii="Times New Roman" w:hAnsi="Times New Roman" w:cs="Times New Roman"/>
        </w:rPr>
        <w:t xml:space="preserve">R yang bisa diberikan bank = </w:t>
      </w:r>
      <w:r w:rsidRPr="00962D58">
        <w:rPr>
          <w:rFonts w:ascii="Times New Roman" w:hAnsi="Times New Roman" w:cs="Times New Roman"/>
        </w:rPr>
        <w:t>80% x nilai taksasi terhadap harga jual tanah dan bangunan yang terendah antara penilaian bank dan penilaian independent appraisal.</w:t>
      </w:r>
    </w:p>
    <w:p w:rsidR="000D2FB1" w:rsidRPr="00962D58" w:rsidRDefault="000D2FB1" w:rsidP="00962D58">
      <w:pPr>
        <w:pStyle w:val="ListParagraph"/>
        <w:numPr>
          <w:ilvl w:val="0"/>
          <w:numId w:val="7"/>
        </w:numPr>
        <w:spacing w:after="0" w:line="240" w:lineRule="auto"/>
        <w:ind w:left="284" w:hanging="284"/>
        <w:jc w:val="both"/>
        <w:rPr>
          <w:rFonts w:ascii="Times New Roman" w:hAnsi="Times New Roman" w:cs="Times New Roman"/>
        </w:rPr>
      </w:pPr>
      <w:r w:rsidRPr="00962D58">
        <w:rPr>
          <w:rFonts w:ascii="Times New Roman" w:hAnsi="Times New Roman" w:cs="Times New Roman"/>
        </w:rPr>
        <w:t>Surat Edaran Bank Indonesia No. 13/6/DNPNP tanggal 18 Februari 2011.</w:t>
      </w:r>
    </w:p>
    <w:p w:rsidR="00AE187F" w:rsidRPr="00962D58" w:rsidRDefault="000D2FB1" w:rsidP="00690744">
      <w:pPr>
        <w:spacing w:after="0" w:line="240" w:lineRule="auto"/>
        <w:ind w:left="284"/>
        <w:jc w:val="both"/>
        <w:rPr>
          <w:rFonts w:ascii="Times New Roman" w:hAnsi="Times New Roman" w:cs="Times New Roman"/>
        </w:rPr>
      </w:pPr>
      <w:r w:rsidRPr="00962D58">
        <w:rPr>
          <w:rFonts w:ascii="Times New Roman" w:hAnsi="Times New Roman" w:cs="Times New Roman"/>
        </w:rPr>
        <w:lastRenderedPageBreak/>
        <w:t>Perihal Pedoman Perhitungan Aset Tertimbang Menurut Risiko untuk Risiko Kredit dengan Menggunakan Pendekatan Standar. Kredit konsumsi untuk kepemilikan rumah tinggal/apartemen atau kredit konsumsi yang dijamin</w:t>
      </w:r>
      <w:r w:rsidR="00962D58">
        <w:rPr>
          <w:rFonts w:ascii="Times New Roman" w:hAnsi="Times New Roman" w:cs="Times New Roman"/>
        </w:rPr>
        <w:t xml:space="preserve"> </w:t>
      </w:r>
      <w:r w:rsidRPr="00962D58">
        <w:rPr>
          <w:rFonts w:ascii="Times New Roman" w:hAnsi="Times New Roman" w:cs="Times New Roman"/>
        </w:rPr>
        <w:t>dengan agunan berupa rumah tinggal/apartemen</w:t>
      </w:r>
      <w:r w:rsidR="00962D58">
        <w:rPr>
          <w:rFonts w:ascii="Times New Roman" w:hAnsi="Times New Roman" w:cs="Times New Roman"/>
        </w:rPr>
        <w:t xml:space="preserve"> </w:t>
      </w:r>
      <w:r w:rsidRPr="00962D58">
        <w:rPr>
          <w:rFonts w:ascii="Times New Roman" w:hAnsi="Times New Roman" w:cs="Times New Roman"/>
        </w:rPr>
        <w:t xml:space="preserve">(tidak termasuk rumah toko dan rumah kantor) rasio nilai kredit terhadap nilai agunan </w:t>
      </w:r>
      <w:r w:rsidRPr="00962D58">
        <w:rPr>
          <w:rFonts w:ascii="Times New Roman" w:hAnsi="Times New Roman" w:cs="Times New Roman"/>
          <w:i/>
        </w:rPr>
        <w:t>Loan to Value</w:t>
      </w:r>
      <w:r w:rsidRPr="00962D58">
        <w:rPr>
          <w:rFonts w:ascii="Times New Roman" w:hAnsi="Times New Roman" w:cs="Times New Roman"/>
        </w:rPr>
        <w:t xml:space="preserve"> (LTV)  paling tinggi sebesar 80% (delapan puluh persen).</w:t>
      </w:r>
    </w:p>
    <w:p w:rsidR="000D2FB1" w:rsidRPr="00962D58" w:rsidRDefault="000D2FB1" w:rsidP="00962D58">
      <w:pPr>
        <w:pStyle w:val="ListParagraph"/>
        <w:numPr>
          <w:ilvl w:val="0"/>
          <w:numId w:val="7"/>
        </w:numPr>
        <w:spacing w:after="0" w:line="240" w:lineRule="auto"/>
        <w:ind w:left="284" w:hanging="284"/>
        <w:jc w:val="both"/>
        <w:rPr>
          <w:rFonts w:ascii="Times New Roman" w:hAnsi="Times New Roman" w:cs="Times New Roman"/>
        </w:rPr>
      </w:pPr>
      <w:r w:rsidRPr="00962D58">
        <w:rPr>
          <w:rFonts w:ascii="Times New Roman" w:hAnsi="Times New Roman" w:cs="Times New Roman"/>
        </w:rPr>
        <w:t>Surat Edaran Bank Indonesia No. 14/10/DPNP tanggal 12 Maret 2012.</w:t>
      </w:r>
    </w:p>
    <w:p w:rsidR="000D2FB1" w:rsidRPr="00962D58" w:rsidRDefault="000D2FB1" w:rsidP="00962D58">
      <w:pPr>
        <w:autoSpaceDE w:val="0"/>
        <w:autoSpaceDN w:val="0"/>
        <w:adjustRightInd w:val="0"/>
        <w:spacing w:after="0" w:line="240" w:lineRule="auto"/>
        <w:ind w:left="284"/>
        <w:jc w:val="both"/>
        <w:rPr>
          <w:rFonts w:ascii="Times New Roman" w:hAnsi="Times New Roman" w:cs="Times New Roman"/>
        </w:rPr>
      </w:pPr>
      <w:r w:rsidRPr="00962D58">
        <w:rPr>
          <w:rFonts w:ascii="Times New Roman" w:hAnsi="Times New Roman" w:cs="Times New Roman"/>
        </w:rPr>
        <w:t>Tentang Penerapan Manajemen Risiko pada Bank yang Melakukan Pemberian Kredit Pemilikan Rumah dan Kredit Kendaraan Bermotor. Rasio LTV untuk Bank yang memberikan KPR sebagaimana diatur dalam SE ini ditetapkan paling tinggi sebesar 70% (tujuh puluh persen). Ruang lingkup KPR yang diatur dalam Surat Edaran Bank Indonesia ini mencakup kredit konsumsi kepemilikan rumah tinggal, termasuk rumah susun atau apartemen namun tidak termasuk rumah kantor dan rumah toko, dengan tipe bangunan lebih dari 70 m</w:t>
      </w:r>
      <w:r w:rsidRPr="00962D58">
        <w:rPr>
          <w:rFonts w:ascii="Times New Roman" w:hAnsi="Times New Roman" w:cs="Times New Roman"/>
          <w:vertAlign w:val="superscript"/>
        </w:rPr>
        <w:t>2</w:t>
      </w:r>
      <w:r w:rsidRPr="00962D58">
        <w:rPr>
          <w:rFonts w:ascii="Times New Roman" w:hAnsi="Times New Roman" w:cs="Times New Roman"/>
        </w:rPr>
        <w:t xml:space="preserve"> (tujuh puluh meter persegi), yang diberikan Bank kepada debitur perorangan dengan nilai kredit yang ditetapkan berdasarkan nilai agunan.</w:t>
      </w:r>
    </w:p>
    <w:p w:rsidR="000D2FB1" w:rsidRPr="00962D58" w:rsidRDefault="000D2FB1" w:rsidP="00962D58">
      <w:pPr>
        <w:pStyle w:val="ListParagraph"/>
        <w:numPr>
          <w:ilvl w:val="0"/>
          <w:numId w:val="7"/>
        </w:numPr>
        <w:spacing w:after="0" w:line="240" w:lineRule="auto"/>
        <w:ind w:left="284" w:hanging="284"/>
        <w:jc w:val="both"/>
        <w:rPr>
          <w:rFonts w:ascii="Times New Roman" w:hAnsi="Times New Roman" w:cs="Times New Roman"/>
        </w:rPr>
      </w:pPr>
      <w:r w:rsidRPr="00962D58">
        <w:rPr>
          <w:rFonts w:ascii="Times New Roman" w:hAnsi="Times New Roman" w:cs="Times New Roman"/>
        </w:rPr>
        <w:t>Surat Edaran Bank Indonesia 15/40/DKMP 24 September 2013.</w:t>
      </w:r>
    </w:p>
    <w:p w:rsidR="000D2FB1" w:rsidRPr="00962D58" w:rsidRDefault="000D2FB1" w:rsidP="00962D58">
      <w:pPr>
        <w:autoSpaceDE w:val="0"/>
        <w:autoSpaceDN w:val="0"/>
        <w:adjustRightInd w:val="0"/>
        <w:spacing w:after="0" w:line="240" w:lineRule="auto"/>
        <w:ind w:left="284"/>
        <w:jc w:val="both"/>
        <w:rPr>
          <w:rFonts w:ascii="Times New Roman" w:hAnsi="Times New Roman" w:cs="Times New Roman"/>
        </w:rPr>
      </w:pPr>
      <w:r w:rsidRPr="00962D58">
        <w:rPr>
          <w:rFonts w:ascii="Times New Roman" w:hAnsi="Times New Roman" w:cs="Times New Roman"/>
        </w:rPr>
        <w:t>Penerapan Manajemen Risiko pada Bank yang Melakukan Pemberian Kredit atau Pembiayaan Pemilikan Properti, Kredit atau Pembiayaan Konsumsi Beragun Properti, dan Kredit atau Pembiayaan Kendaraan Bermotor.</w:t>
      </w:r>
    </w:p>
    <w:p w:rsidR="000D2FB1" w:rsidRPr="00962D58" w:rsidRDefault="000D2FB1" w:rsidP="00962D58">
      <w:pPr>
        <w:autoSpaceDE w:val="0"/>
        <w:autoSpaceDN w:val="0"/>
        <w:adjustRightInd w:val="0"/>
        <w:spacing w:after="0" w:line="240" w:lineRule="auto"/>
        <w:ind w:firstLine="720"/>
        <w:jc w:val="both"/>
        <w:rPr>
          <w:rFonts w:ascii="Times New Roman" w:hAnsi="Times New Roman" w:cs="Times New Roman"/>
        </w:rPr>
      </w:pPr>
      <w:r w:rsidRPr="00962D58">
        <w:rPr>
          <w:rFonts w:ascii="Times New Roman" w:hAnsi="Times New Roman" w:cs="Times New Roman"/>
        </w:rPr>
        <w:t xml:space="preserve">Surat Edaran Bank Indonesia 15/40/DKMP mengatur tentang </w:t>
      </w:r>
      <w:r w:rsidRPr="00962D58">
        <w:rPr>
          <w:rFonts w:ascii="Times New Roman" w:hAnsi="Times New Roman" w:cs="Times New Roman"/>
          <w:i/>
        </w:rPr>
        <w:t>rasio Loan to Value</w:t>
      </w:r>
      <w:r w:rsidRPr="00962D58">
        <w:rPr>
          <w:rFonts w:ascii="Times New Roman" w:hAnsi="Times New Roman" w:cs="Times New Roman"/>
        </w:rPr>
        <w:t xml:space="preserve"> (LTV) untuk pemberian kredit pemilikan properti berdasarkan luas tanah dan untuk pengambilan kredit pertama, kedua, ketiga dan seterusnya. Berikut ini tabel yang menunjukan rasio </w:t>
      </w:r>
      <w:r w:rsidRPr="00962D58">
        <w:rPr>
          <w:rFonts w:ascii="Times New Roman" w:hAnsi="Times New Roman" w:cs="Times New Roman"/>
          <w:i/>
        </w:rPr>
        <w:t>Loan to Value</w:t>
      </w:r>
      <w:r w:rsidRPr="00962D58">
        <w:rPr>
          <w:rFonts w:ascii="Times New Roman" w:hAnsi="Times New Roman" w:cs="Times New Roman"/>
        </w:rPr>
        <w:t xml:space="preserve"> :</w:t>
      </w:r>
    </w:p>
    <w:p w:rsidR="000D2FB1" w:rsidRPr="00962D58" w:rsidRDefault="00A14D94" w:rsidP="00962D58">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 xml:space="preserve">Tabel </w:t>
      </w:r>
      <w:r w:rsidR="000D2FB1" w:rsidRPr="00962D58">
        <w:rPr>
          <w:rFonts w:ascii="Times New Roman" w:hAnsi="Times New Roman" w:cs="Times New Roman"/>
          <w:b/>
        </w:rPr>
        <w:t>1</w:t>
      </w:r>
    </w:p>
    <w:p w:rsidR="000D2FB1" w:rsidRPr="00962D58" w:rsidRDefault="000D2FB1" w:rsidP="00962D58">
      <w:pPr>
        <w:autoSpaceDE w:val="0"/>
        <w:autoSpaceDN w:val="0"/>
        <w:adjustRightInd w:val="0"/>
        <w:spacing w:after="0" w:line="240" w:lineRule="auto"/>
        <w:jc w:val="center"/>
        <w:rPr>
          <w:rFonts w:ascii="Times New Roman" w:hAnsi="Times New Roman" w:cs="Times New Roman"/>
          <w:b/>
        </w:rPr>
      </w:pPr>
      <w:r w:rsidRPr="00962D58">
        <w:rPr>
          <w:rFonts w:ascii="Times New Roman" w:hAnsi="Times New Roman" w:cs="Times New Roman"/>
          <w:b/>
          <w:i/>
        </w:rPr>
        <w:t>Rasio Loan to Value</w:t>
      </w:r>
      <w:r w:rsidRPr="00962D58">
        <w:rPr>
          <w:rFonts w:ascii="Times New Roman" w:hAnsi="Times New Roman" w:cs="Times New Roman"/>
          <w:b/>
        </w:rPr>
        <w:t xml:space="preserve"> (LTV)</w:t>
      </w:r>
    </w:p>
    <w:tbl>
      <w:tblPr>
        <w:tblStyle w:val="TableGrid"/>
        <w:tblW w:w="0" w:type="auto"/>
        <w:tblInd w:w="534" w:type="dxa"/>
        <w:tblLook w:val="04A0"/>
      </w:tblPr>
      <w:tblGrid>
        <w:gridCol w:w="1701"/>
        <w:gridCol w:w="1984"/>
        <w:gridCol w:w="1985"/>
        <w:gridCol w:w="1734"/>
      </w:tblGrid>
      <w:tr w:rsidR="000D2FB1" w:rsidRPr="00962D58" w:rsidTr="00962D58">
        <w:tc>
          <w:tcPr>
            <w:tcW w:w="1701"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Luas</w:t>
            </w:r>
          </w:p>
        </w:tc>
        <w:tc>
          <w:tcPr>
            <w:tcW w:w="1984"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Properti ke 1</w:t>
            </w:r>
          </w:p>
        </w:tc>
        <w:tc>
          <w:tcPr>
            <w:tcW w:w="1985"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Properti ke 2</w:t>
            </w:r>
          </w:p>
        </w:tc>
        <w:tc>
          <w:tcPr>
            <w:tcW w:w="1734"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Properti ke 3</w:t>
            </w:r>
          </w:p>
        </w:tc>
      </w:tr>
      <w:tr w:rsidR="000D2FB1" w:rsidRPr="00962D58" w:rsidTr="00962D58">
        <w:tc>
          <w:tcPr>
            <w:tcW w:w="1701" w:type="dxa"/>
          </w:tcPr>
          <w:p w:rsidR="000D2FB1" w:rsidRPr="00962D58" w:rsidRDefault="000D2FB1" w:rsidP="00962D58">
            <w:pPr>
              <w:autoSpaceDE w:val="0"/>
              <w:autoSpaceDN w:val="0"/>
              <w:adjustRightInd w:val="0"/>
              <w:jc w:val="center"/>
              <w:rPr>
                <w:rFonts w:ascii="Times New Roman" w:hAnsi="Times New Roman" w:cs="Times New Roman"/>
                <w:vertAlign w:val="superscript"/>
              </w:rPr>
            </w:pPr>
            <w:r w:rsidRPr="00962D58">
              <w:rPr>
                <w:rFonts w:ascii="Times New Roman" w:hAnsi="Times New Roman" w:cs="Times New Roman"/>
              </w:rPr>
              <w:t>22-70 m</w:t>
            </w:r>
            <w:r w:rsidRPr="00962D58">
              <w:rPr>
                <w:rFonts w:ascii="Times New Roman" w:hAnsi="Times New Roman" w:cs="Times New Roman"/>
                <w:vertAlign w:val="superscript"/>
              </w:rPr>
              <w:t>2</w:t>
            </w:r>
          </w:p>
        </w:tc>
        <w:tc>
          <w:tcPr>
            <w:tcW w:w="1984"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80%</w:t>
            </w:r>
          </w:p>
        </w:tc>
        <w:tc>
          <w:tcPr>
            <w:tcW w:w="1985"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70%</w:t>
            </w:r>
          </w:p>
        </w:tc>
        <w:tc>
          <w:tcPr>
            <w:tcW w:w="1734"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60%</w:t>
            </w:r>
          </w:p>
        </w:tc>
      </w:tr>
      <w:tr w:rsidR="000D2FB1" w:rsidRPr="00962D58" w:rsidTr="00962D58">
        <w:tc>
          <w:tcPr>
            <w:tcW w:w="1701" w:type="dxa"/>
          </w:tcPr>
          <w:p w:rsidR="000D2FB1" w:rsidRPr="00962D58" w:rsidRDefault="000D2FB1" w:rsidP="00962D58">
            <w:pPr>
              <w:autoSpaceDE w:val="0"/>
              <w:autoSpaceDN w:val="0"/>
              <w:adjustRightInd w:val="0"/>
              <w:jc w:val="center"/>
              <w:rPr>
                <w:rFonts w:ascii="Times New Roman" w:hAnsi="Times New Roman" w:cs="Times New Roman"/>
                <w:vertAlign w:val="superscript"/>
              </w:rPr>
            </w:pPr>
            <w:r w:rsidRPr="00962D58">
              <w:rPr>
                <w:rFonts w:ascii="Times New Roman" w:hAnsi="Times New Roman" w:cs="Times New Roman"/>
              </w:rPr>
              <w:t>&gt;70 m</w:t>
            </w:r>
            <w:r w:rsidRPr="00962D58">
              <w:rPr>
                <w:rFonts w:ascii="Times New Roman" w:hAnsi="Times New Roman" w:cs="Times New Roman"/>
                <w:vertAlign w:val="superscript"/>
              </w:rPr>
              <w:t>2</w:t>
            </w:r>
          </w:p>
        </w:tc>
        <w:tc>
          <w:tcPr>
            <w:tcW w:w="1984"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70%</w:t>
            </w:r>
          </w:p>
        </w:tc>
        <w:tc>
          <w:tcPr>
            <w:tcW w:w="1985"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60%</w:t>
            </w:r>
          </w:p>
        </w:tc>
        <w:tc>
          <w:tcPr>
            <w:tcW w:w="1734" w:type="dxa"/>
          </w:tcPr>
          <w:p w:rsidR="000D2FB1" w:rsidRPr="00962D58" w:rsidRDefault="000D2FB1" w:rsidP="00962D58">
            <w:pPr>
              <w:autoSpaceDE w:val="0"/>
              <w:autoSpaceDN w:val="0"/>
              <w:adjustRightInd w:val="0"/>
              <w:jc w:val="center"/>
              <w:rPr>
                <w:rFonts w:ascii="Times New Roman" w:hAnsi="Times New Roman" w:cs="Times New Roman"/>
              </w:rPr>
            </w:pPr>
            <w:r w:rsidRPr="00962D58">
              <w:rPr>
                <w:rFonts w:ascii="Times New Roman" w:hAnsi="Times New Roman" w:cs="Times New Roman"/>
              </w:rPr>
              <w:t>50%</w:t>
            </w:r>
          </w:p>
        </w:tc>
      </w:tr>
    </w:tbl>
    <w:p w:rsidR="000D2FB1" w:rsidRPr="00962D58" w:rsidRDefault="000D2FB1" w:rsidP="00CA79F7">
      <w:pPr>
        <w:autoSpaceDE w:val="0"/>
        <w:autoSpaceDN w:val="0"/>
        <w:adjustRightInd w:val="0"/>
        <w:spacing w:after="0" w:line="240" w:lineRule="auto"/>
        <w:rPr>
          <w:rFonts w:ascii="Times New Roman" w:hAnsi="Times New Roman" w:cs="Times New Roman"/>
          <w:b/>
        </w:rPr>
      </w:pPr>
      <w:r w:rsidRPr="00962D58">
        <w:rPr>
          <w:rFonts w:ascii="Times New Roman" w:hAnsi="Times New Roman" w:cs="Times New Roman"/>
          <w:b/>
        </w:rPr>
        <w:t>Sumber : Surat Edaran Bank Indonesia No. 15/40/DKMP</w:t>
      </w:r>
    </w:p>
    <w:p w:rsidR="000D2FB1" w:rsidRPr="00962D58" w:rsidRDefault="000D2FB1" w:rsidP="00962D58">
      <w:pPr>
        <w:autoSpaceDE w:val="0"/>
        <w:autoSpaceDN w:val="0"/>
        <w:adjustRightInd w:val="0"/>
        <w:spacing w:after="0" w:line="240" w:lineRule="auto"/>
        <w:ind w:firstLine="720"/>
        <w:jc w:val="both"/>
        <w:rPr>
          <w:rFonts w:ascii="Times New Roman" w:hAnsi="Times New Roman" w:cs="Times New Roman"/>
        </w:rPr>
      </w:pPr>
      <w:r w:rsidRPr="00962D58">
        <w:rPr>
          <w:rFonts w:ascii="Times New Roman" w:hAnsi="Times New Roman" w:cs="Times New Roman"/>
        </w:rPr>
        <w:t xml:space="preserve">Dari Tabel 4.1 di atas dapat dilihat rasio </w:t>
      </w:r>
      <w:r w:rsidRPr="00962D58">
        <w:rPr>
          <w:rFonts w:ascii="Times New Roman" w:hAnsi="Times New Roman" w:cs="Times New Roman"/>
          <w:i/>
        </w:rPr>
        <w:t>Loan to Value</w:t>
      </w:r>
      <w:r w:rsidRPr="00962D58">
        <w:rPr>
          <w:rFonts w:ascii="Times New Roman" w:hAnsi="Times New Roman" w:cs="Times New Roman"/>
        </w:rPr>
        <w:t xml:space="preserve"> menurut Surat Edaran Bank Indonesia No. 15/40/DKMP. Untuk luas bangunan dari 22 m2 (dua puluh dua meter persegi) sampai dengan 70 m</w:t>
      </w:r>
      <w:r w:rsidRPr="00962D58">
        <w:rPr>
          <w:rFonts w:ascii="Times New Roman" w:hAnsi="Times New Roman" w:cs="Times New Roman"/>
          <w:vertAlign w:val="superscript"/>
        </w:rPr>
        <w:t>2</w:t>
      </w:r>
      <w:r w:rsidRPr="00962D58">
        <w:rPr>
          <w:rFonts w:ascii="Times New Roman" w:hAnsi="Times New Roman" w:cs="Times New Roman"/>
        </w:rPr>
        <w:t xml:space="preserve"> (tujuh</w:t>
      </w:r>
      <w:r w:rsidR="00962D58">
        <w:rPr>
          <w:rFonts w:ascii="Times New Roman" w:hAnsi="Times New Roman" w:cs="Times New Roman"/>
        </w:rPr>
        <w:t xml:space="preserve"> </w:t>
      </w:r>
      <w:r w:rsidRPr="00962D58">
        <w:rPr>
          <w:rFonts w:ascii="Times New Roman" w:hAnsi="Times New Roman" w:cs="Times New Roman"/>
        </w:rPr>
        <w:t xml:space="preserve">puluh meter persegi) rasio </w:t>
      </w:r>
      <w:r w:rsidRPr="00962D58">
        <w:rPr>
          <w:rFonts w:ascii="Times New Roman" w:hAnsi="Times New Roman" w:cs="Times New Roman"/>
          <w:i/>
        </w:rPr>
        <w:t>Loan to Value</w:t>
      </w:r>
      <w:r w:rsidRPr="00962D58">
        <w:rPr>
          <w:rFonts w:ascii="Times New Roman" w:hAnsi="Times New Roman" w:cs="Times New Roman"/>
        </w:rPr>
        <w:t xml:space="preserve"> (LTV) yang di berikan sebesar 20%, untuk fasilitas kredit ke dua sebesar 70% dan untuk fasilitas kredit ke tiga dan selanjutnya rasio </w:t>
      </w:r>
      <w:r w:rsidRPr="00962D58">
        <w:rPr>
          <w:rFonts w:ascii="Times New Roman" w:hAnsi="Times New Roman" w:cs="Times New Roman"/>
          <w:i/>
        </w:rPr>
        <w:t>Loan to Value</w:t>
      </w:r>
      <w:r w:rsidRPr="00962D58">
        <w:rPr>
          <w:rFonts w:ascii="Times New Roman" w:hAnsi="Times New Roman" w:cs="Times New Roman"/>
        </w:rPr>
        <w:t xml:space="preserve"> (LTV) semakin bertambah 10%.</w:t>
      </w:r>
    </w:p>
    <w:p w:rsidR="000D2FB1" w:rsidRPr="00962D58" w:rsidRDefault="000D2FB1" w:rsidP="00962D58">
      <w:pPr>
        <w:autoSpaceDE w:val="0"/>
        <w:autoSpaceDN w:val="0"/>
        <w:adjustRightInd w:val="0"/>
        <w:spacing w:after="0" w:line="240" w:lineRule="auto"/>
        <w:ind w:firstLine="720"/>
        <w:jc w:val="both"/>
        <w:rPr>
          <w:rFonts w:ascii="Times New Roman" w:hAnsi="Times New Roman" w:cs="Times New Roman"/>
        </w:rPr>
      </w:pPr>
      <w:r w:rsidRPr="00962D58">
        <w:rPr>
          <w:rFonts w:ascii="Times New Roman" w:hAnsi="Times New Roman" w:cs="Times New Roman"/>
        </w:rPr>
        <w:t>Kemudian untuk luas bangunan di atas 70 m</w:t>
      </w:r>
      <w:r w:rsidRPr="00962D58">
        <w:rPr>
          <w:rFonts w:ascii="Times New Roman" w:hAnsi="Times New Roman" w:cs="Times New Roman"/>
          <w:vertAlign w:val="superscript"/>
        </w:rPr>
        <w:t>2</w:t>
      </w:r>
      <w:r w:rsidRPr="00962D58">
        <w:rPr>
          <w:rFonts w:ascii="Times New Roman" w:hAnsi="Times New Roman" w:cs="Times New Roman"/>
        </w:rPr>
        <w:t xml:space="preserve"> (tujuh puluh meter persegi) fasilitas kredit yang di berikan sebesar 70%, untuk fasilitas kredit ke dua sebesar 60% dan untuk fasilitas kredit ke tiga dan selanjutnya rasio </w:t>
      </w:r>
      <w:r w:rsidRPr="00962D58">
        <w:rPr>
          <w:rFonts w:ascii="Times New Roman" w:hAnsi="Times New Roman" w:cs="Times New Roman"/>
          <w:i/>
        </w:rPr>
        <w:t>Loan to Value</w:t>
      </w:r>
      <w:r w:rsidRPr="00962D58">
        <w:rPr>
          <w:rFonts w:ascii="Times New Roman" w:hAnsi="Times New Roman" w:cs="Times New Roman"/>
        </w:rPr>
        <w:t xml:space="preserve"> (LTV) semakin bertambah 10%.</w:t>
      </w:r>
    </w:p>
    <w:p w:rsidR="008E18C6" w:rsidRDefault="008E18C6" w:rsidP="008E18C6">
      <w:pPr>
        <w:spacing w:after="0" w:line="240" w:lineRule="auto"/>
        <w:rPr>
          <w:rFonts w:ascii="Times New Roman" w:hAnsi="Times New Roman" w:cs="Times New Roman"/>
        </w:rPr>
      </w:pPr>
    </w:p>
    <w:p w:rsidR="00962D58" w:rsidRPr="00CA79F7" w:rsidRDefault="00962D58" w:rsidP="00962D58">
      <w:pPr>
        <w:pStyle w:val="ListParagraph"/>
        <w:numPr>
          <w:ilvl w:val="0"/>
          <w:numId w:val="6"/>
        </w:numPr>
        <w:spacing w:after="0" w:line="240" w:lineRule="auto"/>
        <w:ind w:left="284" w:hanging="284"/>
        <w:jc w:val="both"/>
        <w:rPr>
          <w:rFonts w:ascii="Times New Roman" w:hAnsi="Times New Roman" w:cs="Times New Roman"/>
        </w:rPr>
      </w:pPr>
      <w:r w:rsidRPr="00962D58">
        <w:rPr>
          <w:rFonts w:ascii="Times New Roman" w:hAnsi="Times New Roman" w:cs="Times New Roman"/>
          <w:b/>
        </w:rPr>
        <w:t xml:space="preserve">Pertumbuhan Kredit Properti Sebelum dan Sesudah Penerapan </w:t>
      </w:r>
      <w:r w:rsidRPr="00962D58">
        <w:rPr>
          <w:rFonts w:ascii="Times New Roman" w:hAnsi="Times New Roman" w:cs="Times New Roman"/>
          <w:b/>
          <w:i/>
        </w:rPr>
        <w:t>Loan to Value</w:t>
      </w:r>
      <w:r>
        <w:rPr>
          <w:rFonts w:ascii="Times New Roman" w:hAnsi="Times New Roman" w:cs="Times New Roman"/>
          <w:b/>
        </w:rPr>
        <w:t xml:space="preserve"> </w:t>
      </w:r>
      <w:r w:rsidRPr="00962D58">
        <w:rPr>
          <w:rFonts w:ascii="Times New Roman" w:hAnsi="Times New Roman" w:cs="Times New Roman"/>
          <w:b/>
        </w:rPr>
        <w:t>Menurut Peraturan Bank Indonesia No. 11/25/PBI/2009</w:t>
      </w:r>
    </w:p>
    <w:p w:rsidR="00CA79F7" w:rsidRDefault="00CA79F7" w:rsidP="00CA79F7">
      <w:pPr>
        <w:spacing w:after="0" w:line="240" w:lineRule="auto"/>
        <w:ind w:firstLine="284"/>
        <w:jc w:val="both"/>
        <w:rPr>
          <w:rFonts w:ascii="Times New Roman" w:hAnsi="Times New Roman" w:cs="Times New Roman"/>
        </w:rPr>
      </w:pPr>
    </w:p>
    <w:p w:rsidR="00CA79F7" w:rsidRPr="00CA79F7" w:rsidRDefault="00CA79F7" w:rsidP="00CA79F7">
      <w:pPr>
        <w:spacing w:after="0" w:line="240" w:lineRule="auto"/>
        <w:ind w:firstLine="284"/>
        <w:jc w:val="both"/>
        <w:rPr>
          <w:rFonts w:ascii="Times New Roman" w:hAnsi="Times New Roman" w:cs="Times New Roman"/>
        </w:rPr>
      </w:pPr>
      <w:r w:rsidRPr="00CA79F7">
        <w:rPr>
          <w:rFonts w:ascii="Times New Roman" w:hAnsi="Times New Roman" w:cs="Times New Roman"/>
        </w:rPr>
        <w:t xml:space="preserve">Perbandingan pertumbuhan kredit properti sebelum dan sesudah ada penerapan </w:t>
      </w:r>
      <w:r w:rsidRPr="00CA79F7">
        <w:rPr>
          <w:rFonts w:ascii="Times New Roman" w:hAnsi="Times New Roman" w:cs="Times New Roman"/>
          <w:i/>
        </w:rPr>
        <w:t>Loan to Value</w:t>
      </w:r>
      <w:r w:rsidRPr="00CA79F7">
        <w:rPr>
          <w:rFonts w:ascii="Times New Roman" w:hAnsi="Times New Roman" w:cs="Times New Roman"/>
        </w:rPr>
        <w:t xml:space="preserve"> (LTV) menurut Peraturan Bank Indonesia No. 11/25/PBI/2009. Untuk meredam pertumbuhan kredit properti di Indonesia bank Indonesia mengeluarkan SE BI tentang peraturan </w:t>
      </w:r>
      <w:r w:rsidRPr="00CA79F7">
        <w:rPr>
          <w:rFonts w:ascii="Times New Roman" w:hAnsi="Times New Roman" w:cs="Times New Roman"/>
          <w:i/>
        </w:rPr>
        <w:t>Loan to Value</w:t>
      </w:r>
      <w:r w:rsidRPr="00CA79F7">
        <w:rPr>
          <w:rFonts w:ascii="Times New Roman" w:hAnsi="Times New Roman" w:cs="Times New Roman"/>
        </w:rPr>
        <w:t xml:space="preserve"> (LTV). Aturan </w:t>
      </w:r>
      <w:r w:rsidRPr="00CA79F7">
        <w:rPr>
          <w:rFonts w:ascii="Times New Roman" w:hAnsi="Times New Roman" w:cs="Times New Roman"/>
          <w:i/>
        </w:rPr>
        <w:t>Loan to Value</w:t>
      </w:r>
      <w:r w:rsidRPr="00CA79F7">
        <w:rPr>
          <w:rFonts w:ascii="Times New Roman" w:hAnsi="Times New Roman" w:cs="Times New Roman"/>
        </w:rPr>
        <w:t xml:space="preserve"> (LTV) di berlakukan agar bank tidak mengalalami risiko dalam penyaluran kredit properti.</w:t>
      </w:r>
    </w:p>
    <w:p w:rsidR="00962D58" w:rsidRPr="00CA79F7" w:rsidRDefault="00962D58" w:rsidP="00CA79F7">
      <w:pPr>
        <w:spacing w:after="0" w:line="240" w:lineRule="auto"/>
        <w:jc w:val="both"/>
        <w:rPr>
          <w:rFonts w:ascii="Times New Roman" w:hAnsi="Times New Roman" w:cs="Times New Roman"/>
        </w:rPr>
      </w:pPr>
    </w:p>
    <w:p w:rsidR="00962D58" w:rsidRPr="00962D58" w:rsidRDefault="00962D58" w:rsidP="00962D58">
      <w:pPr>
        <w:spacing w:after="0" w:line="240" w:lineRule="auto"/>
        <w:jc w:val="both"/>
        <w:rPr>
          <w:rFonts w:ascii="Times New Roman" w:hAnsi="Times New Roman" w:cs="Times New Roman"/>
          <w:b/>
        </w:rPr>
      </w:pPr>
      <w:r w:rsidRPr="00962D58">
        <w:rPr>
          <w:rFonts w:ascii="Times New Roman" w:hAnsi="Times New Roman" w:cs="Times New Roman"/>
          <w:b/>
        </w:rPr>
        <w:t xml:space="preserve">Pertumbuhan Kredit Properti Sebelum Penerapan </w:t>
      </w:r>
      <w:r w:rsidRPr="00962D58">
        <w:rPr>
          <w:rFonts w:ascii="Times New Roman" w:hAnsi="Times New Roman" w:cs="Times New Roman"/>
          <w:b/>
          <w:i/>
        </w:rPr>
        <w:t>Loan to Value</w:t>
      </w:r>
      <w:r w:rsidRPr="00962D58">
        <w:rPr>
          <w:rFonts w:ascii="Times New Roman" w:hAnsi="Times New Roman" w:cs="Times New Roman"/>
          <w:b/>
        </w:rPr>
        <w:t xml:space="preserve"> (LTV) Menurut Peraturan Bank Indonesia No. 11/25/PBI/2009</w:t>
      </w:r>
    </w:p>
    <w:p w:rsidR="00962D58" w:rsidRPr="00962D58" w:rsidRDefault="00962D58" w:rsidP="00962D58">
      <w:pPr>
        <w:spacing w:after="0" w:line="240" w:lineRule="auto"/>
        <w:ind w:firstLine="720"/>
        <w:jc w:val="both"/>
        <w:rPr>
          <w:rFonts w:ascii="Times New Roman" w:hAnsi="Times New Roman" w:cs="Times New Roman"/>
        </w:rPr>
      </w:pPr>
      <w:r w:rsidRPr="00962D58">
        <w:rPr>
          <w:rFonts w:ascii="Times New Roman" w:hAnsi="Times New Roman" w:cs="Times New Roman"/>
        </w:rPr>
        <w:t>Nilai pertumbuhan kredit properti pada Bank BCA, BTN, Mandiri, Panin bank merupakan salah satu komponen dalam penyusunan penelitian. Nilai ini sendiri sebenarnya disajikan dalam dua bentuk yaitu total penyaluran kredit tiap tahunnya dalam (Miliar) dan pertumbuhan kredit properti tiap tahunnya dalam satuan Miliar (Rp) dan presentase (%).</w:t>
      </w:r>
    </w:p>
    <w:p w:rsidR="00690744" w:rsidRDefault="00962D58" w:rsidP="00690744">
      <w:pPr>
        <w:spacing w:after="0" w:line="240" w:lineRule="auto"/>
        <w:ind w:firstLine="720"/>
        <w:jc w:val="both"/>
        <w:rPr>
          <w:rFonts w:ascii="Times New Roman" w:hAnsi="Times New Roman" w:cs="Times New Roman"/>
        </w:rPr>
      </w:pPr>
      <w:r w:rsidRPr="00962D58">
        <w:rPr>
          <w:rFonts w:ascii="Times New Roman" w:hAnsi="Times New Roman" w:cs="Times New Roman"/>
        </w:rPr>
        <w:lastRenderedPageBreak/>
        <w:t xml:space="preserve">Pada Tabel 4.2 merupakan tabel yang menggambarkan data mengenai presentase pertumbuhan kredit properti sebelum penerapan </w:t>
      </w:r>
      <w:r w:rsidRPr="00962D58">
        <w:rPr>
          <w:rFonts w:ascii="Times New Roman" w:hAnsi="Times New Roman" w:cs="Times New Roman"/>
          <w:i/>
        </w:rPr>
        <w:t>Loan to Value</w:t>
      </w:r>
      <w:r w:rsidRPr="00962D58">
        <w:rPr>
          <w:rFonts w:ascii="Times New Roman" w:hAnsi="Times New Roman" w:cs="Times New Roman"/>
        </w:rPr>
        <w:t xml:space="preserve"> (LTV) menurut Peraturan Bank Indonesia No. 11/25/PBI/ 2009 :</w:t>
      </w:r>
    </w:p>
    <w:p w:rsidR="00690744" w:rsidRDefault="00690744" w:rsidP="00AE187F">
      <w:pPr>
        <w:spacing w:after="0" w:line="240" w:lineRule="auto"/>
        <w:jc w:val="center"/>
        <w:rPr>
          <w:rFonts w:ascii="Times New Roman" w:hAnsi="Times New Roman" w:cs="Times New Roman"/>
          <w:b/>
          <w:sz w:val="20"/>
          <w:szCs w:val="20"/>
        </w:rPr>
      </w:pPr>
    </w:p>
    <w:p w:rsidR="00962D58" w:rsidRPr="00962D58" w:rsidRDefault="00962D58" w:rsidP="00AE187F">
      <w:pPr>
        <w:spacing w:after="0" w:line="240" w:lineRule="auto"/>
        <w:jc w:val="center"/>
        <w:rPr>
          <w:rFonts w:ascii="Times New Roman" w:hAnsi="Times New Roman" w:cs="Times New Roman"/>
          <w:sz w:val="20"/>
          <w:szCs w:val="20"/>
        </w:rPr>
      </w:pPr>
      <w:r w:rsidRPr="00962D58">
        <w:rPr>
          <w:rFonts w:ascii="Times New Roman" w:hAnsi="Times New Roman" w:cs="Times New Roman"/>
          <w:b/>
          <w:sz w:val="20"/>
          <w:szCs w:val="20"/>
        </w:rPr>
        <w:t xml:space="preserve">Tabel </w:t>
      </w:r>
      <w:r w:rsidR="00A14D94">
        <w:rPr>
          <w:rFonts w:ascii="Times New Roman" w:hAnsi="Times New Roman" w:cs="Times New Roman"/>
          <w:b/>
          <w:sz w:val="20"/>
          <w:szCs w:val="20"/>
        </w:rPr>
        <w:t>2</w:t>
      </w:r>
    </w:p>
    <w:p w:rsidR="00962D58" w:rsidRPr="00962D58" w:rsidRDefault="00962D58" w:rsidP="00962D58">
      <w:pPr>
        <w:spacing w:after="0" w:line="240" w:lineRule="auto"/>
        <w:jc w:val="center"/>
        <w:rPr>
          <w:rFonts w:ascii="Times New Roman" w:hAnsi="Times New Roman" w:cs="Times New Roman"/>
          <w:sz w:val="20"/>
          <w:szCs w:val="20"/>
        </w:rPr>
      </w:pPr>
      <w:r w:rsidRPr="00962D58">
        <w:rPr>
          <w:rFonts w:ascii="Times New Roman" w:hAnsi="Times New Roman" w:cs="Times New Roman"/>
          <w:b/>
          <w:sz w:val="20"/>
          <w:szCs w:val="20"/>
        </w:rPr>
        <w:t xml:space="preserve">Perkembangan Kredit Properti Sebelum Penerapan  </w:t>
      </w:r>
      <w:r w:rsidRPr="00962D58">
        <w:rPr>
          <w:rFonts w:ascii="Times New Roman" w:hAnsi="Times New Roman" w:cs="Times New Roman"/>
          <w:b/>
          <w:i/>
          <w:sz w:val="20"/>
          <w:szCs w:val="20"/>
        </w:rPr>
        <w:t>Loan to Value</w:t>
      </w:r>
      <w:r w:rsidRPr="00962D58">
        <w:rPr>
          <w:rFonts w:ascii="Times New Roman" w:hAnsi="Times New Roman" w:cs="Times New Roman"/>
          <w:b/>
          <w:sz w:val="20"/>
          <w:szCs w:val="20"/>
        </w:rPr>
        <w:t xml:space="preserve"> (LTV) Periode 2006-2009</w:t>
      </w:r>
    </w:p>
    <w:tbl>
      <w:tblPr>
        <w:tblW w:w="7662" w:type="dxa"/>
        <w:tblInd w:w="534" w:type="dxa"/>
        <w:tblLook w:val="04A0"/>
      </w:tblPr>
      <w:tblGrid>
        <w:gridCol w:w="1418"/>
        <w:gridCol w:w="1134"/>
        <w:gridCol w:w="2268"/>
        <w:gridCol w:w="1559"/>
        <w:gridCol w:w="1283"/>
      </w:tblGrid>
      <w:tr w:rsidR="00962D58" w:rsidRPr="00962D58" w:rsidTr="00CA79F7">
        <w:trPr>
          <w:trHeight w:val="330"/>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62D58" w:rsidRPr="00962D58" w:rsidRDefault="00962D58" w:rsidP="00962D58">
            <w:pPr>
              <w:spacing w:after="0" w:line="240" w:lineRule="auto"/>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Nama Bank</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Tahun</w:t>
            </w:r>
          </w:p>
        </w:tc>
        <w:tc>
          <w:tcPr>
            <w:tcW w:w="2268" w:type="dxa"/>
            <w:tcBorders>
              <w:top w:val="single" w:sz="8" w:space="0" w:color="auto"/>
              <w:left w:val="nil"/>
              <w:bottom w:val="nil"/>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Jumlah Kredit (Rp)</w:t>
            </w:r>
          </w:p>
        </w:tc>
        <w:tc>
          <w:tcPr>
            <w:tcW w:w="2842" w:type="dxa"/>
            <w:gridSpan w:val="2"/>
            <w:tcBorders>
              <w:top w:val="single" w:sz="8" w:space="0" w:color="auto"/>
              <w:left w:val="nil"/>
              <w:bottom w:val="nil"/>
              <w:right w:val="single" w:sz="8" w:space="0" w:color="000000"/>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Pertumbuhan</w:t>
            </w:r>
          </w:p>
        </w:tc>
      </w:tr>
      <w:tr w:rsidR="00962D58" w:rsidRPr="00962D58" w:rsidTr="00CA79F7">
        <w:trPr>
          <w:trHeight w:val="330"/>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62D58" w:rsidRPr="00962D58" w:rsidRDefault="00962D58" w:rsidP="00962D58">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962D58" w:rsidRPr="00962D58" w:rsidRDefault="00962D58" w:rsidP="00962D58">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(Miliar)</w:t>
            </w:r>
          </w:p>
        </w:tc>
        <w:tc>
          <w:tcPr>
            <w:tcW w:w="1559" w:type="dxa"/>
            <w:tcBorders>
              <w:top w:val="single" w:sz="8" w:space="0" w:color="auto"/>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xml:space="preserve"> (Rp) Miliar</w:t>
            </w:r>
          </w:p>
        </w:tc>
        <w:tc>
          <w:tcPr>
            <w:tcW w:w="1283" w:type="dxa"/>
            <w:tcBorders>
              <w:top w:val="single" w:sz="8" w:space="0" w:color="auto"/>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BCA</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2006</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4.354</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Calibri" w:eastAsia="Times New Roman" w:hAnsi="Calibri" w:cs="Calibri"/>
                <w:color w:val="000000"/>
                <w:sz w:val="20"/>
                <w:szCs w:val="20"/>
                <w:lang w:eastAsia="id-ID"/>
              </w:rPr>
            </w:pPr>
            <w:r w:rsidRPr="00962D58">
              <w:rPr>
                <w:rFonts w:ascii="Calibri" w:eastAsia="Times New Roman" w:hAnsi="Calibri" w:cs="Calibri"/>
                <w:color w:val="000000"/>
                <w:sz w:val="20"/>
                <w:szCs w:val="20"/>
                <w:lang w:eastAsia="id-ID"/>
              </w:rPr>
              <w:t>- </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7.785</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3.431</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78,8</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10.284</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2.499</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32,1</w:t>
            </w:r>
          </w:p>
        </w:tc>
      </w:tr>
      <w:tr w:rsidR="00962D58" w:rsidRPr="00962D58" w:rsidTr="00CA79F7">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13.117</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2.833</w:t>
            </w:r>
          </w:p>
        </w:tc>
        <w:tc>
          <w:tcPr>
            <w:tcW w:w="1283"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27,54</w:t>
            </w:r>
          </w:p>
        </w:tc>
      </w:tr>
      <w:tr w:rsidR="00962D58" w:rsidRPr="00962D58" w:rsidTr="00CA79F7">
        <w:trPr>
          <w:trHeight w:val="345"/>
        </w:trPr>
        <w:tc>
          <w:tcPr>
            <w:tcW w:w="1418" w:type="dxa"/>
            <w:tcBorders>
              <w:top w:val="single" w:sz="12" w:space="0" w:color="000000" w:themeColor="text1"/>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BTN</w:t>
            </w:r>
          </w:p>
        </w:tc>
        <w:tc>
          <w:tcPr>
            <w:tcW w:w="1134" w:type="dxa"/>
            <w:tcBorders>
              <w:top w:val="single" w:sz="12" w:space="0" w:color="000000" w:themeColor="text1"/>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2006</w:t>
            </w:r>
          </w:p>
        </w:tc>
        <w:tc>
          <w:tcPr>
            <w:tcW w:w="2268" w:type="dxa"/>
            <w:tcBorders>
              <w:top w:val="single" w:sz="12" w:space="0" w:color="000000" w:themeColor="text1"/>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4.544</w:t>
            </w:r>
          </w:p>
        </w:tc>
        <w:tc>
          <w:tcPr>
            <w:tcW w:w="1559" w:type="dxa"/>
            <w:tcBorders>
              <w:top w:val="single" w:sz="12" w:space="0" w:color="000000" w:themeColor="text1"/>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w:t>
            </w:r>
          </w:p>
        </w:tc>
        <w:tc>
          <w:tcPr>
            <w:tcW w:w="1283" w:type="dxa"/>
            <w:tcBorders>
              <w:top w:val="single" w:sz="12" w:space="0" w:color="000000" w:themeColor="text1"/>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7.429</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2.885</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63,49</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10.958</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3.529</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47,5</w:t>
            </w:r>
          </w:p>
        </w:tc>
      </w:tr>
      <w:tr w:rsidR="00962D58" w:rsidRPr="00962D58" w:rsidTr="00CA79F7">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12,661</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1.703</w:t>
            </w:r>
          </w:p>
        </w:tc>
        <w:tc>
          <w:tcPr>
            <w:tcW w:w="1283"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15,54</w:t>
            </w:r>
          </w:p>
        </w:tc>
      </w:tr>
      <w:tr w:rsidR="00962D58" w:rsidRPr="00962D58" w:rsidTr="00CA79F7">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Mandiri</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2006</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7.276</w:t>
            </w:r>
          </w:p>
        </w:tc>
        <w:tc>
          <w:tcPr>
            <w:tcW w:w="1559" w:type="dxa"/>
            <w:tcBorders>
              <w:top w:val="single" w:sz="12" w:space="0" w:color="000000" w:themeColor="text1"/>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Calibri" w:eastAsia="Times New Roman" w:hAnsi="Calibri" w:cs="Calibri"/>
                <w:color w:val="000000"/>
                <w:sz w:val="20"/>
                <w:szCs w:val="20"/>
                <w:lang w:eastAsia="id-ID"/>
              </w:rPr>
            </w:pPr>
            <w:r w:rsidRPr="00962D58">
              <w:rPr>
                <w:rFonts w:ascii="Calibri" w:eastAsia="Times New Roman" w:hAnsi="Calibri" w:cs="Calibri"/>
                <w:color w:val="000000"/>
                <w:sz w:val="20"/>
                <w:szCs w:val="20"/>
                <w:lang w:eastAsia="id-ID"/>
              </w:rPr>
              <w:t>- </w:t>
            </w:r>
          </w:p>
        </w:tc>
        <w:tc>
          <w:tcPr>
            <w:tcW w:w="1283" w:type="dxa"/>
            <w:tcBorders>
              <w:top w:val="single" w:sz="12" w:space="0" w:color="000000" w:themeColor="text1"/>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8.819</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1.543</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21,2</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11.773</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2.954</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33,5</w:t>
            </w:r>
          </w:p>
        </w:tc>
      </w:tr>
      <w:tr w:rsidR="00962D58" w:rsidRPr="00962D58" w:rsidTr="00CA79F7">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13.770</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1.997</w:t>
            </w:r>
          </w:p>
        </w:tc>
        <w:tc>
          <w:tcPr>
            <w:tcW w:w="1283"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16,96</w:t>
            </w:r>
          </w:p>
        </w:tc>
      </w:tr>
      <w:tr w:rsidR="00962D58" w:rsidRPr="00962D58" w:rsidTr="00CA79F7">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Panin</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2006</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3.175</w:t>
            </w:r>
          </w:p>
        </w:tc>
        <w:tc>
          <w:tcPr>
            <w:tcW w:w="1559" w:type="dxa"/>
            <w:tcBorders>
              <w:top w:val="single" w:sz="12" w:space="0" w:color="000000" w:themeColor="text1"/>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Calibri" w:eastAsia="Times New Roman" w:hAnsi="Calibri" w:cs="Calibri"/>
                <w:color w:val="000000"/>
                <w:sz w:val="20"/>
                <w:szCs w:val="20"/>
                <w:lang w:eastAsia="id-ID"/>
              </w:rPr>
            </w:pPr>
            <w:r w:rsidRPr="00962D58">
              <w:rPr>
                <w:rFonts w:ascii="Calibri" w:eastAsia="Times New Roman" w:hAnsi="Calibri" w:cs="Calibri"/>
                <w:color w:val="000000"/>
                <w:sz w:val="20"/>
                <w:szCs w:val="20"/>
                <w:lang w:eastAsia="id-ID"/>
              </w:rPr>
              <w:t> -</w:t>
            </w:r>
          </w:p>
        </w:tc>
        <w:tc>
          <w:tcPr>
            <w:tcW w:w="1283" w:type="dxa"/>
            <w:tcBorders>
              <w:top w:val="single" w:sz="12" w:space="0" w:color="000000" w:themeColor="text1"/>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5.307</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2.132</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67,15</w:t>
            </w:r>
          </w:p>
        </w:tc>
      </w:tr>
      <w:tr w:rsidR="00962D58" w:rsidRPr="00962D58" w:rsidTr="00CA79F7">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6.951</w:t>
            </w:r>
          </w:p>
        </w:tc>
        <w:tc>
          <w:tcPr>
            <w:tcW w:w="1559"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1.644</w:t>
            </w:r>
          </w:p>
        </w:tc>
        <w:tc>
          <w:tcPr>
            <w:tcW w:w="1283" w:type="dxa"/>
            <w:tcBorders>
              <w:top w:val="nil"/>
              <w:left w:val="nil"/>
              <w:bottom w:val="single" w:sz="8" w:space="0" w:color="auto"/>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30,98</w:t>
            </w:r>
          </w:p>
        </w:tc>
      </w:tr>
      <w:tr w:rsidR="00962D58" w:rsidRPr="00962D58" w:rsidTr="00CA79F7">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8.058</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 1.107</w:t>
            </w:r>
          </w:p>
        </w:tc>
        <w:tc>
          <w:tcPr>
            <w:tcW w:w="1283" w:type="dxa"/>
            <w:tcBorders>
              <w:top w:val="nil"/>
              <w:left w:val="nil"/>
              <w:bottom w:val="single" w:sz="12" w:space="0" w:color="000000" w:themeColor="text1"/>
              <w:right w:val="single" w:sz="8" w:space="0" w:color="auto"/>
            </w:tcBorders>
            <w:shd w:val="clear" w:color="auto" w:fill="auto"/>
            <w:vAlign w:val="bottom"/>
            <w:hideMark/>
          </w:tcPr>
          <w:p w:rsidR="00962D58" w:rsidRPr="00962D58" w:rsidRDefault="00962D58" w:rsidP="00962D58">
            <w:pPr>
              <w:spacing w:after="0" w:line="240" w:lineRule="auto"/>
              <w:jc w:val="center"/>
              <w:rPr>
                <w:rFonts w:ascii="Times New Roman" w:eastAsia="Times New Roman" w:hAnsi="Times New Roman" w:cs="Times New Roman"/>
                <w:color w:val="000000"/>
                <w:sz w:val="20"/>
                <w:szCs w:val="20"/>
                <w:lang w:eastAsia="id-ID"/>
              </w:rPr>
            </w:pPr>
            <w:r w:rsidRPr="00962D58">
              <w:rPr>
                <w:rFonts w:ascii="Times New Roman" w:eastAsia="Times New Roman" w:hAnsi="Times New Roman" w:cs="Times New Roman"/>
                <w:color w:val="000000"/>
                <w:sz w:val="20"/>
                <w:szCs w:val="20"/>
                <w:lang w:eastAsia="id-ID"/>
              </w:rPr>
              <w:t>15,92</w:t>
            </w:r>
          </w:p>
        </w:tc>
      </w:tr>
    </w:tbl>
    <w:p w:rsidR="00962D58" w:rsidRDefault="00962D58" w:rsidP="00CA79F7">
      <w:pPr>
        <w:spacing w:line="240" w:lineRule="auto"/>
        <w:rPr>
          <w:rFonts w:ascii="Times New Roman" w:hAnsi="Times New Roman" w:cs="Times New Roman"/>
          <w:b/>
          <w:sz w:val="20"/>
          <w:szCs w:val="20"/>
        </w:rPr>
      </w:pPr>
      <w:r w:rsidRPr="00962D58">
        <w:rPr>
          <w:rFonts w:ascii="Times New Roman" w:hAnsi="Times New Roman" w:cs="Times New Roman"/>
          <w:b/>
          <w:sz w:val="20"/>
          <w:szCs w:val="20"/>
        </w:rPr>
        <w:t>Sumber : Laporan Tahunan Bank BCA, BTN, Mandiri, Panin.</w:t>
      </w:r>
    </w:p>
    <w:p w:rsidR="00CA79F7" w:rsidRPr="00CA79F7" w:rsidRDefault="00CA79F7" w:rsidP="00CA79F7">
      <w:pPr>
        <w:pStyle w:val="ListParagraph"/>
        <w:numPr>
          <w:ilvl w:val="0"/>
          <w:numId w:val="9"/>
        </w:numPr>
        <w:spacing w:after="0" w:line="240" w:lineRule="auto"/>
        <w:ind w:left="284" w:hanging="284"/>
        <w:jc w:val="both"/>
        <w:rPr>
          <w:rFonts w:ascii="Times New Roman" w:hAnsi="Times New Roman" w:cs="Times New Roman"/>
        </w:rPr>
      </w:pPr>
      <w:r w:rsidRPr="00CA79F7">
        <w:rPr>
          <w:rFonts w:ascii="Times New Roman" w:hAnsi="Times New Roman" w:cs="Times New Roman"/>
        </w:rPr>
        <w:t xml:space="preserve">Pada tahun 2007 tingkat pertumbuhan kredit properti di bank BCA sebesar Rp </w:t>
      </w:r>
      <w:r w:rsidRPr="00CA79F7">
        <w:rPr>
          <w:rFonts w:ascii="Times New Roman" w:eastAsia="Times New Roman" w:hAnsi="Times New Roman" w:cs="Times New Roman"/>
          <w:color w:val="000000"/>
          <w:lang w:eastAsia="id-ID"/>
        </w:rPr>
        <w:t>3.431 Miliar dan presentase pertumbuhan kredit properti sebesar (</w:t>
      </w:r>
      <w:r w:rsidRPr="00CA79F7">
        <w:rPr>
          <w:rFonts w:ascii="Times New Roman" w:hAnsi="Times New Roman" w:cs="Times New Roman"/>
        </w:rPr>
        <w:t xml:space="preserve">78,8 %). Tahun 2008 kredit properti mengalami penurunan sebesar Rp </w:t>
      </w:r>
      <w:r w:rsidRPr="00CA79F7">
        <w:rPr>
          <w:rFonts w:ascii="Times New Roman" w:eastAsia="Times New Roman" w:hAnsi="Times New Roman" w:cs="Times New Roman"/>
          <w:color w:val="000000"/>
          <w:lang w:eastAsia="id-ID"/>
        </w:rPr>
        <w:t xml:space="preserve">2.499 Miliar diikuti dengan presentase yang mengalami penurunan </w:t>
      </w:r>
      <w:r w:rsidRPr="00CA79F7">
        <w:rPr>
          <w:rFonts w:ascii="Times New Roman" w:hAnsi="Times New Roman" w:cs="Times New Roman"/>
        </w:rPr>
        <w:t xml:space="preserve"> menjadi(32,1%). Pada tahun 2009 kredit properti mengalami kenaikan menjadi Rp </w:t>
      </w:r>
      <w:r w:rsidRPr="00CA79F7">
        <w:rPr>
          <w:rFonts w:ascii="Times New Roman" w:eastAsia="Times New Roman" w:hAnsi="Times New Roman" w:cs="Times New Roman"/>
          <w:color w:val="000000"/>
          <w:lang w:eastAsia="id-ID"/>
        </w:rPr>
        <w:t xml:space="preserve">2.833 Miliar tetapi presentase </w:t>
      </w:r>
      <w:r w:rsidRPr="00CA79F7">
        <w:rPr>
          <w:rFonts w:ascii="Times New Roman" w:hAnsi="Times New Roman" w:cs="Times New Roman"/>
        </w:rPr>
        <w:t>kredit proprti mengalami penurunan (27,54%).</w:t>
      </w:r>
    </w:p>
    <w:p w:rsidR="00CA79F7" w:rsidRPr="00CA79F7" w:rsidRDefault="00CA79F7" w:rsidP="00CA79F7">
      <w:pPr>
        <w:pStyle w:val="ListParagraph"/>
        <w:numPr>
          <w:ilvl w:val="0"/>
          <w:numId w:val="9"/>
        </w:numPr>
        <w:spacing w:after="0" w:line="240" w:lineRule="auto"/>
        <w:ind w:left="284" w:hanging="284"/>
        <w:jc w:val="both"/>
        <w:rPr>
          <w:rFonts w:ascii="Times New Roman" w:hAnsi="Times New Roman" w:cs="Times New Roman"/>
        </w:rPr>
      </w:pPr>
      <w:r w:rsidRPr="00CA79F7">
        <w:rPr>
          <w:rFonts w:ascii="Times New Roman" w:hAnsi="Times New Roman" w:cs="Times New Roman"/>
        </w:rPr>
        <w:t xml:space="preserve">Pertumbuhan kredit properti pada bank BTN tahun 2007 sebesar Rp </w:t>
      </w:r>
      <w:r w:rsidRPr="00CA79F7">
        <w:rPr>
          <w:rFonts w:ascii="Times New Roman" w:eastAsia="Times New Roman" w:hAnsi="Times New Roman" w:cs="Times New Roman"/>
          <w:color w:val="000000"/>
          <w:lang w:eastAsia="id-ID"/>
        </w:rPr>
        <w:t>2.885</w:t>
      </w:r>
      <w:r w:rsidRPr="00CA79F7">
        <w:rPr>
          <w:rFonts w:ascii="Times New Roman" w:hAnsi="Times New Roman" w:cs="Times New Roman"/>
        </w:rPr>
        <w:t xml:space="preserve">Miliar dengan tingkat presentase sebesar (63,49%). Tahun 2008 kredit properti di bank BTN mengalami peningkatan sebesar Rp </w:t>
      </w:r>
      <w:r w:rsidRPr="00CA79F7">
        <w:rPr>
          <w:rFonts w:ascii="Times New Roman" w:eastAsia="Times New Roman" w:hAnsi="Times New Roman" w:cs="Times New Roman"/>
          <w:color w:val="000000"/>
          <w:lang w:eastAsia="id-ID"/>
        </w:rPr>
        <w:t xml:space="preserve">3.529 Miliar tetapi presentase kredit properti mengalai penurunan </w:t>
      </w:r>
      <w:r w:rsidRPr="00CA79F7">
        <w:rPr>
          <w:rFonts w:ascii="Times New Roman" w:hAnsi="Times New Roman" w:cs="Times New Roman"/>
        </w:rPr>
        <w:t xml:space="preserve">menjadi (47,5%). Tahun 2009 kredit properti di bank BTN  mengalami penurunan menjadi Rp </w:t>
      </w:r>
      <w:r w:rsidRPr="00CA79F7">
        <w:rPr>
          <w:rFonts w:ascii="Times New Roman" w:eastAsia="Times New Roman" w:hAnsi="Times New Roman" w:cs="Times New Roman"/>
          <w:color w:val="000000"/>
          <w:lang w:eastAsia="id-ID"/>
        </w:rPr>
        <w:t xml:space="preserve">1.703 Miliar dan presentase kredit properti juga mengalami penurunan </w:t>
      </w:r>
      <w:r w:rsidRPr="00CA79F7">
        <w:rPr>
          <w:rFonts w:ascii="Times New Roman" w:hAnsi="Times New Roman" w:cs="Times New Roman"/>
        </w:rPr>
        <w:t>menjadi (15,54%).</w:t>
      </w:r>
    </w:p>
    <w:p w:rsidR="00CA79F7" w:rsidRPr="00CA79F7" w:rsidRDefault="00CA79F7" w:rsidP="00CA79F7">
      <w:pPr>
        <w:pStyle w:val="ListParagraph"/>
        <w:numPr>
          <w:ilvl w:val="0"/>
          <w:numId w:val="9"/>
        </w:numPr>
        <w:spacing w:after="0" w:line="240" w:lineRule="auto"/>
        <w:ind w:left="284" w:hanging="284"/>
        <w:jc w:val="both"/>
        <w:rPr>
          <w:rFonts w:ascii="Times New Roman" w:hAnsi="Times New Roman" w:cs="Times New Roman"/>
        </w:rPr>
      </w:pPr>
      <w:r w:rsidRPr="00CA79F7">
        <w:rPr>
          <w:rFonts w:ascii="Times New Roman" w:hAnsi="Times New Roman" w:cs="Times New Roman"/>
        </w:rPr>
        <w:t xml:space="preserve">Pertumbuhan kredit properti pada bank Mandiri tahun 2007 sebesar Rp </w:t>
      </w:r>
      <w:r w:rsidRPr="00CA79F7">
        <w:rPr>
          <w:rFonts w:ascii="Times New Roman" w:eastAsia="Times New Roman" w:hAnsi="Times New Roman" w:cs="Times New Roman"/>
          <w:color w:val="000000"/>
          <w:lang w:eastAsia="id-ID"/>
        </w:rPr>
        <w:t>1.543 Miliar dan presentase kredit properti sebesar (</w:t>
      </w:r>
      <w:r w:rsidRPr="00CA79F7">
        <w:rPr>
          <w:rFonts w:ascii="Times New Roman" w:hAnsi="Times New Roman" w:cs="Times New Roman"/>
        </w:rPr>
        <w:t xml:space="preserve">21,2%). Pada tahun 2008 kredit properti di bank Mandiri mengalami kenaikan menjadi Rp </w:t>
      </w:r>
      <w:r w:rsidRPr="00CA79F7">
        <w:rPr>
          <w:rFonts w:ascii="Times New Roman" w:eastAsia="Times New Roman" w:hAnsi="Times New Roman" w:cs="Times New Roman"/>
          <w:color w:val="000000"/>
          <w:lang w:eastAsia="id-ID"/>
        </w:rPr>
        <w:t>2.95</w:t>
      </w:r>
      <w:r w:rsidRPr="00CA79F7">
        <w:rPr>
          <w:rFonts w:ascii="Times New Roman" w:hAnsi="Times New Roman" w:cs="Times New Roman"/>
        </w:rPr>
        <w:t>3 Miliar dari tahun sebelumnya diikuti dengan presentase yang mengalami kenaikan pula (</w:t>
      </w:r>
      <w:r w:rsidRPr="00CA79F7">
        <w:rPr>
          <w:rFonts w:ascii="Times New Roman" w:eastAsia="Times New Roman" w:hAnsi="Times New Roman" w:cs="Times New Roman"/>
          <w:color w:val="000000"/>
          <w:lang w:eastAsia="id-ID"/>
        </w:rPr>
        <w:t>33,5%)</w:t>
      </w:r>
      <w:r w:rsidRPr="00CA79F7">
        <w:rPr>
          <w:rFonts w:ascii="Times New Roman" w:hAnsi="Times New Roman" w:cs="Times New Roman"/>
        </w:rPr>
        <w:t>. Tetapi pada tahun berikutnya 2009 bank Mandiri mengalami penurunan kredit properti</w:t>
      </w:r>
      <w:r>
        <w:rPr>
          <w:rFonts w:ascii="Times New Roman" w:hAnsi="Times New Roman" w:cs="Times New Roman"/>
        </w:rPr>
        <w:t>nya</w:t>
      </w:r>
      <w:r w:rsidRPr="00CA79F7">
        <w:rPr>
          <w:rFonts w:ascii="Times New Roman" w:hAnsi="Times New Roman" w:cs="Times New Roman"/>
        </w:rPr>
        <w:t xml:space="preserve"> di bandingkan tahun 2008 yang sebelumnya Rp </w:t>
      </w:r>
      <w:r w:rsidRPr="00CA79F7">
        <w:rPr>
          <w:rFonts w:ascii="Times New Roman" w:eastAsia="Times New Roman" w:hAnsi="Times New Roman" w:cs="Times New Roman"/>
          <w:color w:val="000000"/>
          <w:lang w:eastAsia="id-ID"/>
        </w:rPr>
        <w:t>2.95</w:t>
      </w:r>
      <w:r w:rsidRPr="00CA79F7">
        <w:rPr>
          <w:rFonts w:ascii="Times New Roman" w:hAnsi="Times New Roman" w:cs="Times New Roman"/>
        </w:rPr>
        <w:t xml:space="preserve">3 Miliar menjadi Rp </w:t>
      </w:r>
      <w:r w:rsidRPr="00CA79F7">
        <w:rPr>
          <w:rFonts w:ascii="Times New Roman" w:eastAsia="Times New Roman" w:hAnsi="Times New Roman" w:cs="Times New Roman"/>
          <w:color w:val="000000"/>
          <w:lang w:eastAsia="id-ID"/>
        </w:rPr>
        <w:t>1.997 Miliar dan presentase pertumbuhan kredit properti mengalami penurunan menjadi (16,96%)</w:t>
      </w:r>
      <w:r w:rsidRPr="00CA79F7">
        <w:rPr>
          <w:rFonts w:ascii="Times New Roman" w:hAnsi="Times New Roman" w:cs="Times New Roman"/>
        </w:rPr>
        <w:t>.</w:t>
      </w:r>
    </w:p>
    <w:p w:rsidR="00CA79F7" w:rsidRDefault="00CA79F7" w:rsidP="00CA79F7">
      <w:pPr>
        <w:spacing w:after="0" w:line="240" w:lineRule="auto"/>
        <w:ind w:left="284" w:hanging="284"/>
        <w:jc w:val="both"/>
        <w:rPr>
          <w:rFonts w:ascii="Times New Roman" w:hAnsi="Times New Roman" w:cs="Times New Roman"/>
        </w:rPr>
      </w:pPr>
      <w:r w:rsidRPr="00CA79F7">
        <w:rPr>
          <w:rFonts w:ascii="Times New Roman" w:hAnsi="Times New Roman" w:cs="Times New Roman"/>
        </w:rPr>
        <w:t xml:space="preserve">4. Pertumbuhan kredit properti pada bank Panin tahun 2007 sebesar Rp </w:t>
      </w:r>
      <w:r w:rsidRPr="00CA79F7">
        <w:rPr>
          <w:rFonts w:ascii="Times New Roman" w:eastAsia="Times New Roman" w:hAnsi="Times New Roman" w:cs="Times New Roman"/>
          <w:color w:val="000000"/>
          <w:lang w:eastAsia="id-ID"/>
        </w:rPr>
        <w:t>2.13</w:t>
      </w:r>
      <w:r w:rsidRPr="00CA79F7">
        <w:rPr>
          <w:rFonts w:ascii="Times New Roman" w:hAnsi="Times New Roman" w:cs="Times New Roman"/>
        </w:rPr>
        <w:t xml:space="preserve">6 dan presentase pertumbuhan kredi properti sebesar (7,15%). Pada tahun 2008 kredit properti di bank Panin </w:t>
      </w:r>
      <w:r w:rsidRPr="00CA79F7">
        <w:rPr>
          <w:rFonts w:ascii="Times New Roman" w:hAnsi="Times New Roman" w:cs="Times New Roman"/>
        </w:rPr>
        <w:lastRenderedPageBreak/>
        <w:t xml:space="preserve">mengalami penurunan menjadi </w:t>
      </w:r>
      <w:r w:rsidRPr="00CA79F7">
        <w:rPr>
          <w:rFonts w:ascii="Times New Roman" w:eastAsia="Times New Roman" w:hAnsi="Times New Roman" w:cs="Times New Roman"/>
          <w:color w:val="000000"/>
          <w:lang w:eastAsia="id-ID"/>
        </w:rPr>
        <w:t> Rp 1.644 Miliar diikuti oleh presentase yang mengalami penurunan menjadi (</w:t>
      </w:r>
      <w:r w:rsidRPr="00CA79F7">
        <w:rPr>
          <w:rFonts w:ascii="Times New Roman" w:hAnsi="Times New Roman" w:cs="Times New Roman"/>
        </w:rPr>
        <w:t xml:space="preserve">30,98%). Tahun 2009 kredit properti di bank Panin semakin menurun dari tahun ke tahun menjadi </w:t>
      </w:r>
      <w:r w:rsidRPr="00CA79F7">
        <w:rPr>
          <w:rFonts w:ascii="Times New Roman" w:eastAsia="Times New Roman" w:hAnsi="Times New Roman" w:cs="Times New Roman"/>
          <w:color w:val="000000"/>
          <w:lang w:eastAsia="id-ID"/>
        </w:rPr>
        <w:t> Rp 1.107 Miliar dan ptresentase pemberian kredit juga mengalami penurunan manjadi (15,92%)</w:t>
      </w:r>
      <w:r w:rsidRPr="00CA79F7">
        <w:rPr>
          <w:rFonts w:ascii="Times New Roman" w:hAnsi="Times New Roman" w:cs="Times New Roman"/>
        </w:rPr>
        <w:t xml:space="preserve">. </w:t>
      </w:r>
    </w:p>
    <w:p w:rsidR="00CA79F7" w:rsidRDefault="00CA79F7" w:rsidP="00CA79F7">
      <w:pPr>
        <w:spacing w:after="0" w:line="240" w:lineRule="auto"/>
        <w:jc w:val="both"/>
        <w:rPr>
          <w:rFonts w:ascii="Times New Roman" w:hAnsi="Times New Roman" w:cs="Times New Roman"/>
          <w:b/>
        </w:rPr>
      </w:pPr>
      <w:r w:rsidRPr="00CA79F7">
        <w:rPr>
          <w:rFonts w:ascii="Times New Roman" w:hAnsi="Times New Roman" w:cs="Times New Roman"/>
          <w:b/>
        </w:rPr>
        <w:t xml:space="preserve">Pertumbuhan Kredit Properti Sesudah Penerapan </w:t>
      </w:r>
      <w:r w:rsidRPr="00CA79F7">
        <w:rPr>
          <w:rFonts w:ascii="Times New Roman" w:hAnsi="Times New Roman" w:cs="Times New Roman"/>
          <w:b/>
          <w:i/>
        </w:rPr>
        <w:t>Loan to Value</w:t>
      </w:r>
      <w:r w:rsidRPr="00CA79F7">
        <w:rPr>
          <w:rFonts w:ascii="Times New Roman" w:hAnsi="Times New Roman" w:cs="Times New Roman"/>
          <w:b/>
        </w:rPr>
        <w:t xml:space="preserve"> (LTV) Menurut Peraturan Bank Indonesia No. 11/25/PBI/2009</w:t>
      </w:r>
    </w:p>
    <w:p w:rsidR="00690744" w:rsidRPr="00CA79F7" w:rsidRDefault="00690744" w:rsidP="00CA79F7">
      <w:pPr>
        <w:spacing w:after="0" w:line="240" w:lineRule="auto"/>
        <w:jc w:val="both"/>
        <w:rPr>
          <w:rFonts w:ascii="Times New Roman" w:hAnsi="Times New Roman" w:cs="Times New Roman"/>
          <w:b/>
        </w:rPr>
      </w:pPr>
    </w:p>
    <w:p w:rsidR="00CA79F7" w:rsidRPr="00CA79F7" w:rsidRDefault="00CA79F7" w:rsidP="00CA79F7">
      <w:pPr>
        <w:spacing w:after="0" w:line="240" w:lineRule="auto"/>
        <w:jc w:val="both"/>
        <w:rPr>
          <w:rFonts w:ascii="Times New Roman" w:hAnsi="Times New Roman" w:cs="Times New Roman"/>
        </w:rPr>
      </w:pPr>
      <w:r w:rsidRPr="00CA79F7">
        <w:rPr>
          <w:rFonts w:ascii="Times New Roman" w:hAnsi="Times New Roman" w:cs="Times New Roman"/>
        </w:rPr>
        <w:tab/>
        <w:t>Data yang digunakan dalam penelitian berasal dari Laporan Tahunan Bank BCA, BTN, Mandiri, Panin bank sebagai sumber datanya. Nilai pertumbuhan kredit properti merupakan salah satu komponen dalam penyusunan penelitian. Nilai ini sendiri sebenarnya disajikan dalam dua bentuk yaitu total penyaluran kredit tiap tahunnya dalam (Miliar) dan pertumbuhan kredit tiap tahunnya dalam bentuk Miliar (Rp) dan presentase (%).</w:t>
      </w:r>
    </w:p>
    <w:p w:rsidR="00CA79F7" w:rsidRPr="00CA79F7" w:rsidRDefault="00CA79F7" w:rsidP="00CA79F7">
      <w:pPr>
        <w:spacing w:after="0" w:line="240" w:lineRule="auto"/>
        <w:ind w:firstLine="720"/>
        <w:jc w:val="both"/>
        <w:rPr>
          <w:rFonts w:ascii="Times New Roman" w:hAnsi="Times New Roman" w:cs="Times New Roman"/>
        </w:rPr>
      </w:pPr>
      <w:r w:rsidRPr="00CA79F7">
        <w:rPr>
          <w:rFonts w:ascii="Times New Roman" w:hAnsi="Times New Roman" w:cs="Times New Roman"/>
        </w:rPr>
        <w:t xml:space="preserve">Sesudah ada penerapan </w:t>
      </w:r>
      <w:r w:rsidRPr="00CA79F7">
        <w:rPr>
          <w:rFonts w:ascii="Times New Roman" w:hAnsi="Times New Roman" w:cs="Times New Roman"/>
          <w:i/>
        </w:rPr>
        <w:t>Loan to Value</w:t>
      </w:r>
      <w:r w:rsidRPr="00CA79F7">
        <w:rPr>
          <w:rFonts w:ascii="Times New Roman" w:hAnsi="Times New Roman" w:cs="Times New Roman"/>
        </w:rPr>
        <w:t xml:space="preserve"> (LTV) menurut Peraturan Bank Indonesia No. 11/25/PBI/2009 Bank Indonesia mengharapkan pertumbuhan kredit di sektor properti mengalami penurunan hal ini dilakukan agar kredit di sektor properti mengalami kesehatan. Penerapan </w:t>
      </w:r>
      <w:r w:rsidRPr="00CA79F7">
        <w:rPr>
          <w:rFonts w:ascii="Times New Roman" w:hAnsi="Times New Roman" w:cs="Times New Roman"/>
          <w:i/>
        </w:rPr>
        <w:t>Loan to Value</w:t>
      </w:r>
      <w:r w:rsidRPr="00CA79F7">
        <w:rPr>
          <w:rFonts w:ascii="Times New Roman" w:hAnsi="Times New Roman" w:cs="Times New Roman"/>
        </w:rPr>
        <w:t xml:space="preserve"> (LTV) berdasarkan Peraturan Bank Indonesia di prediksikan akan berpengaruh terhadap kredit properti perbankan.</w:t>
      </w:r>
    </w:p>
    <w:p w:rsidR="00CA79F7" w:rsidRPr="00CA79F7" w:rsidRDefault="00CA79F7" w:rsidP="00CA79F7">
      <w:pPr>
        <w:spacing w:after="0" w:line="240" w:lineRule="auto"/>
        <w:ind w:firstLine="720"/>
        <w:jc w:val="both"/>
        <w:rPr>
          <w:rFonts w:ascii="Times New Roman" w:hAnsi="Times New Roman" w:cs="Times New Roman"/>
        </w:rPr>
      </w:pPr>
      <w:r w:rsidRPr="00CA79F7">
        <w:rPr>
          <w:rFonts w:ascii="Times New Roman" w:hAnsi="Times New Roman" w:cs="Times New Roman"/>
        </w:rPr>
        <w:t xml:space="preserve">Berikut ini 4.3 Tabel yang menyajikan data mengenai jumlah kredit properti dan perkembangan kredit properti setiap tahunnya sebelum ada penerapan </w:t>
      </w:r>
      <w:r w:rsidRPr="00CA79F7">
        <w:rPr>
          <w:rFonts w:ascii="Times New Roman" w:hAnsi="Times New Roman" w:cs="Times New Roman"/>
          <w:i/>
        </w:rPr>
        <w:t>Loan to Value</w:t>
      </w:r>
      <w:r w:rsidRPr="00CA79F7">
        <w:rPr>
          <w:rFonts w:ascii="Times New Roman" w:hAnsi="Times New Roman" w:cs="Times New Roman"/>
        </w:rPr>
        <w:t xml:space="preserve"> (LTV) menurut Peraturan Bank Indonesia No. 11/25/PBI/2009 :</w:t>
      </w:r>
    </w:p>
    <w:p w:rsidR="00CA79F7" w:rsidRPr="00CA79F7" w:rsidRDefault="00A14D94" w:rsidP="00CA79F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Tabel 3</w:t>
      </w:r>
    </w:p>
    <w:p w:rsidR="00CA79F7" w:rsidRPr="00CA79F7" w:rsidRDefault="00CA79F7" w:rsidP="00CA79F7">
      <w:pPr>
        <w:spacing w:after="0" w:line="240" w:lineRule="auto"/>
        <w:jc w:val="center"/>
        <w:rPr>
          <w:rFonts w:ascii="Times New Roman" w:hAnsi="Times New Roman" w:cs="Times New Roman"/>
          <w:b/>
          <w:sz w:val="20"/>
          <w:szCs w:val="20"/>
        </w:rPr>
      </w:pPr>
      <w:r w:rsidRPr="00CA79F7">
        <w:rPr>
          <w:rFonts w:ascii="Times New Roman" w:hAnsi="Times New Roman" w:cs="Times New Roman"/>
          <w:b/>
          <w:sz w:val="20"/>
          <w:szCs w:val="20"/>
        </w:rPr>
        <w:t xml:space="preserve">Perkembangan Kredit Properti Sesudah Penerapan  </w:t>
      </w:r>
      <w:r w:rsidRPr="00CA79F7">
        <w:rPr>
          <w:rFonts w:ascii="Times New Roman" w:hAnsi="Times New Roman" w:cs="Times New Roman"/>
          <w:b/>
          <w:i/>
          <w:sz w:val="20"/>
          <w:szCs w:val="20"/>
        </w:rPr>
        <w:t>Loan to Value</w:t>
      </w:r>
      <w:r w:rsidRPr="00CA79F7">
        <w:rPr>
          <w:rFonts w:ascii="Times New Roman" w:hAnsi="Times New Roman" w:cs="Times New Roman"/>
          <w:b/>
          <w:sz w:val="20"/>
          <w:szCs w:val="20"/>
        </w:rPr>
        <w:t xml:space="preserve"> (LTV) Periode 2010-2013</w:t>
      </w:r>
    </w:p>
    <w:tbl>
      <w:tblPr>
        <w:tblW w:w="8505" w:type="dxa"/>
        <w:tblInd w:w="108" w:type="dxa"/>
        <w:tblLook w:val="04A0"/>
      </w:tblPr>
      <w:tblGrid>
        <w:gridCol w:w="1418"/>
        <w:gridCol w:w="1134"/>
        <w:gridCol w:w="2268"/>
        <w:gridCol w:w="1843"/>
        <w:gridCol w:w="1842"/>
      </w:tblGrid>
      <w:tr w:rsidR="00CA79F7" w:rsidRPr="00CA79F7" w:rsidTr="00A14D94">
        <w:trPr>
          <w:trHeight w:val="330"/>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A79F7" w:rsidRPr="00CA79F7" w:rsidRDefault="00CA79F7" w:rsidP="00CA79F7">
            <w:pPr>
              <w:spacing w:after="0" w:line="240" w:lineRule="auto"/>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Nama Bank</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Tahun</w:t>
            </w:r>
          </w:p>
        </w:tc>
        <w:tc>
          <w:tcPr>
            <w:tcW w:w="2268" w:type="dxa"/>
            <w:tcBorders>
              <w:top w:val="single" w:sz="8" w:space="0" w:color="auto"/>
              <w:left w:val="nil"/>
              <w:bottom w:val="nil"/>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Jumlah Kredit (Rp)</w:t>
            </w:r>
          </w:p>
        </w:tc>
        <w:tc>
          <w:tcPr>
            <w:tcW w:w="3685" w:type="dxa"/>
            <w:gridSpan w:val="2"/>
            <w:tcBorders>
              <w:top w:val="single" w:sz="8" w:space="0" w:color="auto"/>
              <w:left w:val="nil"/>
              <w:bottom w:val="nil"/>
              <w:right w:val="single" w:sz="8" w:space="0" w:color="000000"/>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Pertumbuhan</w:t>
            </w:r>
          </w:p>
        </w:tc>
      </w:tr>
      <w:tr w:rsidR="00CA79F7" w:rsidRPr="00CA79F7" w:rsidTr="00A14D94">
        <w:trPr>
          <w:trHeight w:val="330"/>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CA79F7" w:rsidRPr="00CA79F7" w:rsidRDefault="00CA79F7" w:rsidP="00CA79F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CA79F7" w:rsidRPr="00CA79F7" w:rsidRDefault="00CA79F7" w:rsidP="00CA79F7">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(Miliar)</w:t>
            </w:r>
          </w:p>
        </w:tc>
        <w:tc>
          <w:tcPr>
            <w:tcW w:w="1843" w:type="dxa"/>
            <w:tcBorders>
              <w:top w:val="single" w:sz="8" w:space="0" w:color="auto"/>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(Rp) Miliar</w:t>
            </w:r>
          </w:p>
        </w:tc>
        <w:tc>
          <w:tcPr>
            <w:tcW w:w="1842" w:type="dxa"/>
            <w:tcBorders>
              <w:top w:val="single" w:sz="8" w:space="0" w:color="auto"/>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BCA</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18.263</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Calibri" w:eastAsia="Times New Roman" w:hAnsi="Calibri" w:cs="Calibri"/>
                <w:color w:val="000000"/>
                <w:sz w:val="20"/>
                <w:szCs w:val="20"/>
                <w:lang w:eastAsia="id-ID"/>
              </w:rPr>
            </w:pPr>
            <w:r w:rsidRPr="00CA79F7">
              <w:rPr>
                <w:rFonts w:ascii="Calibri" w:eastAsia="Times New Roman" w:hAnsi="Calibri" w:cs="Calibri"/>
                <w:color w:val="000000"/>
                <w:sz w:val="20"/>
                <w:szCs w:val="20"/>
                <w:lang w:eastAsia="id-ID"/>
              </w:rPr>
              <w:t>- </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28.032</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9.769</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53,49</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41.806</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13.774</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49,14</w:t>
            </w:r>
          </w:p>
        </w:tc>
      </w:tr>
      <w:tr w:rsidR="00CA79F7" w:rsidRPr="00CA79F7" w:rsidTr="00A14D94">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52.941</w:t>
            </w:r>
          </w:p>
        </w:tc>
        <w:tc>
          <w:tcPr>
            <w:tcW w:w="1843"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11.135</w:t>
            </w:r>
          </w:p>
        </w:tc>
        <w:tc>
          <w:tcPr>
            <w:tcW w:w="1842"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26,63</w:t>
            </w:r>
          </w:p>
        </w:tc>
      </w:tr>
      <w:tr w:rsidR="00CA79F7" w:rsidRPr="00CA79F7" w:rsidTr="00A14D94">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BTN</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15.635</w:t>
            </w:r>
          </w:p>
        </w:tc>
        <w:tc>
          <w:tcPr>
            <w:tcW w:w="1843" w:type="dxa"/>
            <w:tcBorders>
              <w:top w:val="single" w:sz="12" w:space="0" w:color="000000" w:themeColor="text1"/>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Calibri" w:eastAsia="Times New Roman" w:hAnsi="Calibri" w:cs="Calibri"/>
                <w:color w:val="000000"/>
                <w:sz w:val="20"/>
                <w:szCs w:val="20"/>
                <w:lang w:eastAsia="id-ID"/>
              </w:rPr>
            </w:pPr>
            <w:r w:rsidRPr="00CA79F7">
              <w:rPr>
                <w:rFonts w:ascii="Calibri" w:eastAsia="Times New Roman" w:hAnsi="Calibri" w:cs="Calibri"/>
                <w:color w:val="000000"/>
                <w:sz w:val="20"/>
                <w:szCs w:val="20"/>
                <w:lang w:eastAsia="id-ID"/>
              </w:rPr>
              <w:t>- </w:t>
            </w:r>
          </w:p>
        </w:tc>
        <w:tc>
          <w:tcPr>
            <w:tcW w:w="1842" w:type="dxa"/>
            <w:tcBorders>
              <w:top w:val="single" w:sz="12" w:space="0" w:color="000000" w:themeColor="text1"/>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18.611</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2.976</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19,03</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29.129</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10.518</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56,51</w:t>
            </w:r>
          </w:p>
        </w:tc>
      </w:tr>
      <w:tr w:rsidR="00CA79F7" w:rsidRPr="00CA79F7" w:rsidTr="00A14D94">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39.548</w:t>
            </w:r>
          </w:p>
        </w:tc>
        <w:tc>
          <w:tcPr>
            <w:tcW w:w="1843"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10.419</w:t>
            </w:r>
          </w:p>
        </w:tc>
        <w:tc>
          <w:tcPr>
            <w:tcW w:w="1842"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35,78</w:t>
            </w:r>
          </w:p>
        </w:tc>
      </w:tr>
      <w:tr w:rsidR="00CA79F7" w:rsidRPr="00CA79F7" w:rsidTr="00A14D94">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Mandiri</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17.457</w:t>
            </w:r>
          </w:p>
        </w:tc>
        <w:tc>
          <w:tcPr>
            <w:tcW w:w="1843" w:type="dxa"/>
            <w:tcBorders>
              <w:top w:val="single" w:sz="12" w:space="0" w:color="000000" w:themeColor="text1"/>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Calibri" w:eastAsia="Times New Roman" w:hAnsi="Calibri" w:cs="Calibri"/>
                <w:color w:val="000000"/>
                <w:sz w:val="20"/>
                <w:szCs w:val="20"/>
                <w:lang w:eastAsia="id-ID"/>
              </w:rPr>
            </w:pPr>
            <w:r w:rsidRPr="00CA79F7">
              <w:rPr>
                <w:rFonts w:ascii="Calibri" w:eastAsia="Times New Roman" w:hAnsi="Calibri" w:cs="Calibri"/>
                <w:color w:val="000000"/>
                <w:sz w:val="20"/>
                <w:szCs w:val="20"/>
                <w:lang w:eastAsia="id-ID"/>
              </w:rPr>
              <w:t>- </w:t>
            </w:r>
          </w:p>
        </w:tc>
        <w:tc>
          <w:tcPr>
            <w:tcW w:w="1842" w:type="dxa"/>
            <w:tcBorders>
              <w:top w:val="single" w:sz="12" w:space="0" w:color="000000" w:themeColor="text1"/>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21.666</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4.209</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24,11</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26.289</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4.623</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21,33</w:t>
            </w:r>
          </w:p>
        </w:tc>
      </w:tr>
      <w:tr w:rsidR="00CA79F7" w:rsidRPr="00CA79F7" w:rsidTr="00A14D94">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30.179</w:t>
            </w:r>
          </w:p>
        </w:tc>
        <w:tc>
          <w:tcPr>
            <w:tcW w:w="1843"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3.890</w:t>
            </w:r>
          </w:p>
        </w:tc>
        <w:tc>
          <w:tcPr>
            <w:tcW w:w="1842"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14,80</w:t>
            </w:r>
          </w:p>
        </w:tc>
      </w:tr>
      <w:tr w:rsidR="00CA79F7" w:rsidRPr="00CA79F7" w:rsidTr="00A14D94">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Panin</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11.332</w:t>
            </w:r>
          </w:p>
        </w:tc>
        <w:tc>
          <w:tcPr>
            <w:tcW w:w="1843" w:type="dxa"/>
            <w:tcBorders>
              <w:top w:val="single" w:sz="12" w:space="0" w:color="000000" w:themeColor="text1"/>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842" w:type="dxa"/>
            <w:tcBorders>
              <w:top w:val="single" w:sz="12" w:space="0" w:color="000000" w:themeColor="text1"/>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14.127</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2.795</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26,65</w:t>
            </w:r>
          </w:p>
        </w:tc>
      </w:tr>
      <w:tr w:rsidR="00CA79F7" w:rsidRPr="00CA79F7" w:rsidTr="00A14D94">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19.000</w:t>
            </w:r>
          </w:p>
        </w:tc>
        <w:tc>
          <w:tcPr>
            <w:tcW w:w="1843"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4.873</w:t>
            </w:r>
          </w:p>
        </w:tc>
        <w:tc>
          <w:tcPr>
            <w:tcW w:w="1842" w:type="dxa"/>
            <w:tcBorders>
              <w:top w:val="nil"/>
              <w:left w:val="nil"/>
              <w:bottom w:val="single" w:sz="8" w:space="0" w:color="auto"/>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30,25</w:t>
            </w:r>
          </w:p>
        </w:tc>
      </w:tr>
      <w:tr w:rsidR="00CA79F7" w:rsidRPr="00CA79F7" w:rsidTr="00A14D94">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22.200</w:t>
            </w:r>
          </w:p>
        </w:tc>
        <w:tc>
          <w:tcPr>
            <w:tcW w:w="1843"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3.200</w:t>
            </w:r>
          </w:p>
        </w:tc>
        <w:tc>
          <w:tcPr>
            <w:tcW w:w="1842" w:type="dxa"/>
            <w:tcBorders>
              <w:top w:val="nil"/>
              <w:left w:val="nil"/>
              <w:bottom w:val="single" w:sz="12" w:space="0" w:color="000000" w:themeColor="text1"/>
              <w:right w:val="single" w:sz="8" w:space="0" w:color="auto"/>
            </w:tcBorders>
            <w:shd w:val="clear" w:color="auto" w:fill="auto"/>
            <w:vAlign w:val="bottom"/>
            <w:hideMark/>
          </w:tcPr>
          <w:p w:rsidR="00CA79F7" w:rsidRPr="00CA79F7" w:rsidRDefault="00CA79F7" w:rsidP="00CA79F7">
            <w:pPr>
              <w:spacing w:after="0" w:line="240" w:lineRule="auto"/>
              <w:jc w:val="center"/>
              <w:rPr>
                <w:rFonts w:ascii="Times New Roman" w:eastAsia="Times New Roman" w:hAnsi="Times New Roman" w:cs="Times New Roman"/>
                <w:color w:val="000000"/>
                <w:sz w:val="20"/>
                <w:szCs w:val="20"/>
                <w:lang w:eastAsia="id-ID"/>
              </w:rPr>
            </w:pPr>
            <w:r w:rsidRPr="00CA79F7">
              <w:rPr>
                <w:rFonts w:ascii="Times New Roman" w:eastAsia="Times New Roman" w:hAnsi="Times New Roman" w:cs="Times New Roman"/>
                <w:color w:val="000000"/>
                <w:sz w:val="20"/>
                <w:szCs w:val="20"/>
                <w:lang w:eastAsia="id-ID"/>
              </w:rPr>
              <w:t>16,48</w:t>
            </w:r>
          </w:p>
        </w:tc>
      </w:tr>
    </w:tbl>
    <w:p w:rsidR="00CA79F7" w:rsidRDefault="00CA79F7" w:rsidP="00CA79F7">
      <w:pPr>
        <w:spacing w:line="240" w:lineRule="auto"/>
        <w:rPr>
          <w:rFonts w:ascii="Times New Roman" w:hAnsi="Times New Roman" w:cs="Times New Roman"/>
          <w:b/>
          <w:sz w:val="20"/>
          <w:szCs w:val="20"/>
        </w:rPr>
      </w:pPr>
      <w:r w:rsidRPr="00CA79F7">
        <w:rPr>
          <w:rFonts w:ascii="Times New Roman" w:hAnsi="Times New Roman" w:cs="Times New Roman"/>
          <w:b/>
          <w:sz w:val="20"/>
          <w:szCs w:val="20"/>
        </w:rPr>
        <w:t>Sumber : Laporan Tahunan Bank BCA, BTN, Mandiri, Panin bank</w:t>
      </w:r>
    </w:p>
    <w:p w:rsidR="00AE187F" w:rsidRPr="00AE187F" w:rsidRDefault="0035421E" w:rsidP="00AE187F">
      <w:pPr>
        <w:pStyle w:val="ListParagraph"/>
        <w:numPr>
          <w:ilvl w:val="0"/>
          <w:numId w:val="10"/>
        </w:numPr>
        <w:tabs>
          <w:tab w:val="left" w:pos="0"/>
        </w:tabs>
        <w:spacing w:after="0" w:line="240" w:lineRule="auto"/>
        <w:ind w:left="284" w:hanging="284"/>
        <w:jc w:val="both"/>
        <w:rPr>
          <w:rFonts w:ascii="Times New Roman" w:hAnsi="Times New Roman" w:cs="Times New Roman"/>
        </w:rPr>
      </w:pPr>
      <w:r w:rsidRPr="0035421E">
        <w:rPr>
          <w:rFonts w:ascii="Times New Roman" w:hAnsi="Times New Roman" w:cs="Times New Roman"/>
        </w:rPr>
        <w:t xml:space="preserve">Pada tahun 2011 pertumbuhan kredit properti di bank BCA sebesar Rp </w:t>
      </w:r>
      <w:r w:rsidRPr="0035421E">
        <w:rPr>
          <w:rFonts w:ascii="Times New Roman" w:eastAsia="Times New Roman" w:hAnsi="Times New Roman" w:cs="Times New Roman"/>
          <w:color w:val="000000"/>
          <w:lang w:eastAsia="id-ID"/>
        </w:rPr>
        <w:t>9.769 Miliar dengan presentase pemberian kredit properti sebesar (</w:t>
      </w:r>
      <w:r w:rsidRPr="0035421E">
        <w:rPr>
          <w:rFonts w:ascii="Times New Roman" w:hAnsi="Times New Roman" w:cs="Times New Roman"/>
        </w:rPr>
        <w:t xml:space="preserve">53,49%). Pada tahun 2012 setelah diberlakukannya </w:t>
      </w:r>
      <w:r w:rsidRPr="0035421E">
        <w:rPr>
          <w:rFonts w:ascii="Times New Roman" w:hAnsi="Times New Roman" w:cs="Times New Roman"/>
          <w:i/>
        </w:rPr>
        <w:t>Loan to Value</w:t>
      </w:r>
      <w:r w:rsidRPr="0035421E">
        <w:rPr>
          <w:rFonts w:ascii="Times New Roman" w:hAnsi="Times New Roman" w:cs="Times New Roman"/>
        </w:rPr>
        <w:t xml:space="preserve"> (LTV) kredit properti mengalami kenaikan menjadi Rp </w:t>
      </w:r>
      <w:r w:rsidRPr="0035421E">
        <w:rPr>
          <w:rFonts w:ascii="Times New Roman" w:eastAsia="Times New Roman" w:hAnsi="Times New Roman" w:cs="Times New Roman"/>
          <w:color w:val="000000"/>
          <w:lang w:eastAsia="id-ID"/>
        </w:rPr>
        <w:t xml:space="preserve">13.774 Miliar dari tahun sebelumnya tetapi presentase kredit properti </w:t>
      </w:r>
      <w:r w:rsidRPr="0035421E">
        <w:rPr>
          <w:rFonts w:ascii="Times New Roman" w:hAnsi="Times New Roman" w:cs="Times New Roman"/>
        </w:rPr>
        <w:t xml:space="preserve">mengalami penurunan </w:t>
      </w:r>
      <w:r w:rsidRPr="0035421E">
        <w:rPr>
          <w:rFonts w:ascii="Times New Roman" w:hAnsi="Times New Roman" w:cs="Times New Roman"/>
        </w:rPr>
        <w:lastRenderedPageBreak/>
        <w:t xml:space="preserve">menjadi (49,14%). Pada tahun 2013 setelah ada Surat Edaran Bank Indonesia yang baru tentang </w:t>
      </w:r>
      <w:r w:rsidRPr="0035421E">
        <w:rPr>
          <w:rFonts w:ascii="Times New Roman" w:hAnsi="Times New Roman" w:cs="Times New Roman"/>
          <w:i/>
        </w:rPr>
        <w:t>Loan to Value</w:t>
      </w:r>
      <w:r w:rsidRPr="0035421E">
        <w:rPr>
          <w:rFonts w:ascii="Times New Roman" w:hAnsi="Times New Roman" w:cs="Times New Roman"/>
        </w:rPr>
        <w:t xml:space="preserve"> (LTV) kredit properti di bank BCA mengalami penurunan menjadi Rp</w:t>
      </w:r>
      <w:r w:rsidR="00AE187F">
        <w:rPr>
          <w:rFonts w:ascii="Times New Roman" w:hAnsi="Times New Roman" w:cs="Times New Roman"/>
        </w:rPr>
        <w:t xml:space="preserve">. </w:t>
      </w:r>
      <w:r w:rsidRPr="0035421E">
        <w:rPr>
          <w:rFonts w:ascii="Times New Roman" w:eastAsia="Times New Roman" w:hAnsi="Times New Roman" w:cs="Times New Roman"/>
          <w:color w:val="000000"/>
          <w:lang w:eastAsia="id-ID"/>
        </w:rPr>
        <w:t xml:space="preserve">11.135 Miliar dan diikuti oleh presentase yang mengalami penurunan pula </w:t>
      </w:r>
      <w:r w:rsidRPr="0035421E">
        <w:rPr>
          <w:rFonts w:ascii="Times New Roman" w:hAnsi="Times New Roman" w:cs="Times New Roman"/>
        </w:rPr>
        <w:t>menjadi (26,63%) hal ini memiliki dampak yang efektif dalam penurunan pertumbuhan kredit di bank BCA</w:t>
      </w:r>
      <w:r w:rsidR="00AE187F">
        <w:rPr>
          <w:rFonts w:ascii="Times New Roman" w:hAnsi="Times New Roman" w:cs="Times New Roman"/>
        </w:rPr>
        <w:t>.</w:t>
      </w:r>
    </w:p>
    <w:p w:rsidR="0035421E" w:rsidRPr="0035421E" w:rsidRDefault="0035421E" w:rsidP="0035421E">
      <w:pPr>
        <w:pStyle w:val="ListParagraph"/>
        <w:numPr>
          <w:ilvl w:val="0"/>
          <w:numId w:val="10"/>
        </w:numPr>
        <w:tabs>
          <w:tab w:val="left" w:pos="0"/>
        </w:tabs>
        <w:spacing w:after="0" w:line="240" w:lineRule="auto"/>
        <w:ind w:left="284" w:hanging="284"/>
        <w:jc w:val="both"/>
        <w:rPr>
          <w:rFonts w:ascii="Times New Roman" w:hAnsi="Times New Roman" w:cs="Times New Roman"/>
        </w:rPr>
      </w:pPr>
      <w:r w:rsidRPr="0035421E">
        <w:rPr>
          <w:rFonts w:ascii="Times New Roman" w:hAnsi="Times New Roman" w:cs="Times New Roman"/>
        </w:rPr>
        <w:t xml:space="preserve">Pertumbuhan kredit properti di bank BTN setelah ada penerapan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tahun 2011 sebesar Rp </w:t>
      </w:r>
      <w:r w:rsidRPr="0035421E">
        <w:rPr>
          <w:rFonts w:ascii="Times New Roman" w:eastAsia="Times New Roman" w:hAnsi="Times New Roman" w:cs="Times New Roman"/>
          <w:color w:val="000000"/>
          <w:lang w:eastAsia="id-ID"/>
        </w:rPr>
        <w:t xml:space="preserve">2.976 Miliar dan presentase pertumbuhan kredit properti sebesar </w:t>
      </w:r>
      <w:r w:rsidRPr="0035421E">
        <w:rPr>
          <w:rFonts w:ascii="Times New Roman" w:hAnsi="Times New Roman" w:cs="Times New Roman"/>
        </w:rPr>
        <w:t xml:space="preserve">(19,03%). Pada tahun 2012 kredit properti naik menjadi Rp </w:t>
      </w:r>
      <w:r w:rsidRPr="0035421E">
        <w:rPr>
          <w:rFonts w:ascii="Times New Roman" w:eastAsia="Times New Roman" w:hAnsi="Times New Roman" w:cs="Times New Roman"/>
          <w:color w:val="000000"/>
          <w:lang w:eastAsia="id-ID"/>
        </w:rPr>
        <w:t>10.518 Miliar hal diikuti oleh presentase perkembangan yang mengalami kenaikan pula menjadi (</w:t>
      </w:r>
      <w:r w:rsidRPr="0035421E">
        <w:rPr>
          <w:rFonts w:ascii="Times New Roman" w:hAnsi="Times New Roman" w:cs="Times New Roman"/>
        </w:rPr>
        <w:t>56,51%) padahal bank Indonesia pada tahun 2012 menaikan rasio (LTV) sebesar (70%) untuk KPR di atas 70 m</w:t>
      </w:r>
      <w:r w:rsidRPr="0035421E">
        <w:rPr>
          <w:rFonts w:ascii="Times New Roman" w:hAnsi="Times New Roman" w:cs="Times New Roman"/>
          <w:vertAlign w:val="superscript"/>
        </w:rPr>
        <w:t>2</w:t>
      </w:r>
      <w:r w:rsidRPr="0035421E">
        <w:rPr>
          <w:rFonts w:ascii="Times New Roman" w:hAnsi="Times New Roman" w:cs="Times New Roman"/>
        </w:rPr>
        <w:t xml:space="preserve">, hal ini terjadi karena bank BTN memiliki strategi untuk tetap menjaga agar kredit properti tetap tumbuh. Pada tahun 2013 setelah diberlakukannya SE BI yang baru kredit properti di bank BTN mengalami penurunan menjadi Rp </w:t>
      </w:r>
      <w:r w:rsidRPr="0035421E">
        <w:rPr>
          <w:rFonts w:ascii="Times New Roman" w:eastAsia="Times New Roman" w:hAnsi="Times New Roman" w:cs="Times New Roman"/>
          <w:color w:val="000000"/>
          <w:lang w:eastAsia="id-ID"/>
        </w:rPr>
        <w:t>10.419 Miliar</w:t>
      </w:r>
      <w:r w:rsidRPr="0035421E">
        <w:rPr>
          <w:rFonts w:ascii="Times New Roman" w:hAnsi="Times New Roman" w:cs="Times New Roman"/>
        </w:rPr>
        <w:t xml:space="preserve">dan presentase kredit properti mengalami penururnan menjadi (35,78%) peraturan </w:t>
      </w:r>
      <w:r w:rsidRPr="0035421E">
        <w:rPr>
          <w:rFonts w:ascii="Times New Roman" w:hAnsi="Times New Roman" w:cs="Times New Roman"/>
          <w:i/>
        </w:rPr>
        <w:t>Loan to Value</w:t>
      </w:r>
      <w:r w:rsidRPr="0035421E">
        <w:rPr>
          <w:rFonts w:ascii="Times New Roman" w:hAnsi="Times New Roman" w:cs="Times New Roman"/>
        </w:rPr>
        <w:t xml:space="preserve"> (LTV) yang baru ini efektif dalam meredam pertumbuhan kredit properti di bank BTN.</w:t>
      </w:r>
    </w:p>
    <w:p w:rsidR="0035421E" w:rsidRDefault="0035421E" w:rsidP="0035421E">
      <w:pPr>
        <w:pStyle w:val="ListParagraph"/>
        <w:numPr>
          <w:ilvl w:val="0"/>
          <w:numId w:val="10"/>
        </w:numPr>
        <w:tabs>
          <w:tab w:val="left" w:pos="0"/>
        </w:tabs>
        <w:spacing w:after="0" w:line="240" w:lineRule="auto"/>
        <w:ind w:left="284" w:hanging="284"/>
        <w:jc w:val="both"/>
        <w:rPr>
          <w:rFonts w:ascii="Times New Roman" w:hAnsi="Times New Roman" w:cs="Times New Roman"/>
        </w:rPr>
      </w:pPr>
      <w:r w:rsidRPr="0035421E">
        <w:rPr>
          <w:rFonts w:ascii="Times New Roman" w:hAnsi="Times New Roman" w:cs="Times New Roman"/>
        </w:rPr>
        <w:t xml:space="preserve">Pertumbuhan kredit properti di bank Mandiri setelah ada penerapan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sebesar Rp 4.209 Miliar dan presentase kredit properti sebesar(</w:t>
      </w:r>
      <w:r w:rsidRPr="0035421E">
        <w:rPr>
          <w:rFonts w:ascii="Times New Roman" w:eastAsia="Times New Roman" w:hAnsi="Times New Roman" w:cs="Times New Roman"/>
          <w:color w:val="000000"/>
          <w:lang w:eastAsia="id-ID"/>
        </w:rPr>
        <w:t xml:space="preserve">24,11%). </w:t>
      </w:r>
      <w:r w:rsidRPr="0035421E">
        <w:rPr>
          <w:rFonts w:ascii="Times New Roman" w:hAnsi="Times New Roman" w:cs="Times New Roman"/>
        </w:rPr>
        <w:t xml:space="preserve">Pada tahun 2012 setelah ada SE BI tentang penerapan rasio </w:t>
      </w:r>
      <w:r w:rsidRPr="0035421E">
        <w:rPr>
          <w:rFonts w:ascii="Times New Roman" w:hAnsi="Times New Roman" w:cs="Times New Roman"/>
          <w:i/>
        </w:rPr>
        <w:t>Loan to Value</w:t>
      </w:r>
      <w:r w:rsidRPr="0035421E">
        <w:rPr>
          <w:rFonts w:ascii="Times New Roman" w:hAnsi="Times New Roman" w:cs="Times New Roman"/>
        </w:rPr>
        <w:t xml:space="preserve"> (LTV) untuk tipe rumah di atas 70 m</w:t>
      </w:r>
      <w:r w:rsidRPr="0035421E">
        <w:rPr>
          <w:rFonts w:ascii="Times New Roman" w:hAnsi="Times New Roman" w:cs="Times New Roman"/>
          <w:vertAlign w:val="superscript"/>
        </w:rPr>
        <w:t>2</w:t>
      </w:r>
      <w:r w:rsidRPr="0035421E">
        <w:rPr>
          <w:rFonts w:ascii="Times New Roman" w:hAnsi="Times New Roman" w:cs="Times New Roman"/>
        </w:rPr>
        <w:t xml:space="preserve">kredit properti di bank Mandiri mengalami kenaikan sebesar Rp 4.623 Miliar dan presentase pertumbuhan kredit mengalami penurunan menjadi (21,33%). Pada tahun 2013 setelah ada SE BI yang baru tentang rasio </w:t>
      </w:r>
      <w:r w:rsidRPr="0035421E">
        <w:rPr>
          <w:rFonts w:ascii="Times New Roman" w:hAnsi="Times New Roman" w:cs="Times New Roman"/>
          <w:i/>
        </w:rPr>
        <w:t>Loan to Value</w:t>
      </w:r>
      <w:r w:rsidRPr="0035421E">
        <w:rPr>
          <w:rFonts w:ascii="Times New Roman" w:hAnsi="Times New Roman" w:cs="Times New Roman"/>
        </w:rPr>
        <w:t xml:space="preserve"> (LTV) kredit properti mengalami penurunan menjadi Rp 3890 Miliar dibandingkan dengan tahun sebelumnya dan presentase pertumbuhan kredit properti juga mengalami penurunan menjadi (14,8%), penerapan </w:t>
      </w:r>
      <w:r w:rsidRPr="0035421E">
        <w:rPr>
          <w:rFonts w:ascii="Times New Roman" w:hAnsi="Times New Roman" w:cs="Times New Roman"/>
          <w:i/>
        </w:rPr>
        <w:t>Loan to Value</w:t>
      </w:r>
      <w:r w:rsidRPr="0035421E">
        <w:rPr>
          <w:rFonts w:ascii="Times New Roman" w:hAnsi="Times New Roman" w:cs="Times New Roman"/>
        </w:rPr>
        <w:t xml:space="preserve"> (LTV) ini efektif dalam meredam pertumbuhan kredit di bank Mandiri.</w:t>
      </w:r>
    </w:p>
    <w:p w:rsidR="0035421E" w:rsidRDefault="0035421E" w:rsidP="0035421E">
      <w:pPr>
        <w:pStyle w:val="ListParagraph"/>
        <w:numPr>
          <w:ilvl w:val="0"/>
          <w:numId w:val="10"/>
        </w:numPr>
        <w:tabs>
          <w:tab w:val="left" w:pos="0"/>
        </w:tabs>
        <w:spacing w:after="0" w:line="240" w:lineRule="auto"/>
        <w:ind w:left="284" w:hanging="284"/>
        <w:jc w:val="both"/>
        <w:rPr>
          <w:rFonts w:ascii="Times New Roman" w:hAnsi="Times New Roman" w:cs="Times New Roman"/>
        </w:rPr>
      </w:pPr>
      <w:r w:rsidRPr="0035421E">
        <w:rPr>
          <w:rFonts w:ascii="Times New Roman" w:hAnsi="Times New Roman" w:cs="Times New Roman"/>
        </w:rPr>
        <w:t xml:space="preserve">Pertumbuhan kredit properti di bank Panin setelah ada penerapan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sebesar Rp 2.795 Miliar dan presentase pertumbuhan sebesar (26,65%). Pada tahun 2012 setelah ada SE BI tentang penerapan rasio </w:t>
      </w:r>
      <w:r w:rsidRPr="0035421E">
        <w:rPr>
          <w:rFonts w:ascii="Times New Roman" w:hAnsi="Times New Roman" w:cs="Times New Roman"/>
          <w:i/>
        </w:rPr>
        <w:t>Loan to Value</w:t>
      </w:r>
      <w:r w:rsidRPr="0035421E">
        <w:rPr>
          <w:rFonts w:ascii="Times New Roman" w:hAnsi="Times New Roman" w:cs="Times New Roman"/>
        </w:rPr>
        <w:t xml:space="preserve"> (LTV) untuk tipe rumah di atas 70 m</w:t>
      </w:r>
      <w:r w:rsidRPr="0035421E">
        <w:rPr>
          <w:rFonts w:ascii="Times New Roman" w:hAnsi="Times New Roman" w:cs="Times New Roman"/>
          <w:vertAlign w:val="superscript"/>
        </w:rPr>
        <w:t>2</w:t>
      </w:r>
      <w:r w:rsidRPr="0035421E">
        <w:rPr>
          <w:rFonts w:ascii="Times New Roman" w:hAnsi="Times New Roman" w:cs="Times New Roman"/>
        </w:rPr>
        <w:t xml:space="preserve">kredit properti di bank Panin mengalami kenaikan sebesar Rp 4.875 Miliar diikuti presentase yang mengalami kenaikan pula menjadi (30,25%) hal ini karena bank Panin melakukan strategi agar kredit properti tetap tumbuh yaitu dengan meningkatkan pelayanan dan memberikan kecepatan dalam melakukan proses kredit properti. Pada tahun 2013 setelah ada SE BI yang baru tentang rasio </w:t>
      </w:r>
      <w:r w:rsidRPr="0035421E">
        <w:rPr>
          <w:rFonts w:ascii="Times New Roman" w:hAnsi="Times New Roman" w:cs="Times New Roman"/>
          <w:i/>
        </w:rPr>
        <w:t>Loan to Value</w:t>
      </w:r>
      <w:r w:rsidRPr="0035421E">
        <w:rPr>
          <w:rFonts w:ascii="Times New Roman" w:hAnsi="Times New Roman" w:cs="Times New Roman"/>
        </w:rPr>
        <w:t xml:space="preserve"> (LTV) kredit properti mengalami penurunan menjadi Rp 3.200 Miliar dan diikuti presentase yang mengalami penurunan pula (16,84%) pada tahun 2013 mulai terasa ada penurunan yaitu dampak dari adanya peraturan yang diperketat oleh Bank Indonesia. Untuk bank Panin penerapan </w:t>
      </w:r>
      <w:r w:rsidRPr="0035421E">
        <w:rPr>
          <w:rFonts w:ascii="Times New Roman" w:hAnsi="Times New Roman" w:cs="Times New Roman"/>
          <w:i/>
        </w:rPr>
        <w:t xml:space="preserve">Loan to Value </w:t>
      </w:r>
      <w:r w:rsidRPr="0035421E">
        <w:rPr>
          <w:rFonts w:ascii="Times New Roman" w:hAnsi="Times New Roman" w:cs="Times New Roman"/>
        </w:rPr>
        <w:t>(LTV) efektif untuk meredam pertumbuhan kredit properti.</w:t>
      </w:r>
    </w:p>
    <w:p w:rsidR="0035421E" w:rsidRPr="00AE187F" w:rsidRDefault="00A14D94" w:rsidP="00AE187F">
      <w:pPr>
        <w:tabs>
          <w:tab w:val="left" w:pos="0"/>
        </w:tabs>
        <w:spacing w:after="0" w:line="240" w:lineRule="auto"/>
        <w:jc w:val="center"/>
        <w:rPr>
          <w:rFonts w:ascii="Times New Roman" w:hAnsi="Times New Roman" w:cs="Times New Roman"/>
          <w:b/>
        </w:rPr>
      </w:pPr>
      <w:r>
        <w:rPr>
          <w:rFonts w:ascii="Times New Roman" w:hAnsi="Times New Roman" w:cs="Times New Roman"/>
          <w:b/>
        </w:rPr>
        <w:t>Tabel 4</w:t>
      </w:r>
    </w:p>
    <w:tbl>
      <w:tblPr>
        <w:tblW w:w="86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834"/>
        <w:gridCol w:w="1009"/>
        <w:gridCol w:w="992"/>
        <w:gridCol w:w="993"/>
        <w:gridCol w:w="992"/>
        <w:gridCol w:w="1134"/>
        <w:gridCol w:w="992"/>
        <w:gridCol w:w="567"/>
        <w:gridCol w:w="284"/>
        <w:gridCol w:w="850"/>
      </w:tblGrid>
      <w:tr w:rsidR="0035421E" w:rsidRPr="0035421E" w:rsidTr="0035421E">
        <w:trPr>
          <w:cantSplit/>
        </w:trPr>
        <w:tc>
          <w:tcPr>
            <w:tcW w:w="8647" w:type="dxa"/>
            <w:gridSpan w:val="10"/>
            <w:tcBorders>
              <w:top w:val="nil"/>
              <w:left w:val="nil"/>
              <w:bottom w:val="nil"/>
              <w:right w:val="nil"/>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b/>
                <w:bCs/>
                <w:color w:val="000000"/>
                <w:sz w:val="20"/>
                <w:szCs w:val="20"/>
              </w:rPr>
              <w:t>Paired Samples Test</w:t>
            </w:r>
          </w:p>
        </w:tc>
      </w:tr>
      <w:tr w:rsidR="0035421E" w:rsidRPr="0035421E" w:rsidTr="0035421E">
        <w:trPr>
          <w:cantSplit/>
        </w:trPr>
        <w:tc>
          <w:tcPr>
            <w:tcW w:w="1843" w:type="dxa"/>
            <w:gridSpan w:val="2"/>
            <w:vMerge w:val="restart"/>
            <w:tcBorders>
              <w:top w:val="single" w:sz="16" w:space="0" w:color="000000"/>
              <w:left w:val="single" w:sz="16" w:space="0" w:color="000000"/>
              <w:bottom w:val="nil"/>
              <w:right w:val="nil"/>
            </w:tcBorders>
            <w:shd w:val="clear" w:color="auto" w:fill="FFFFFF"/>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p>
        </w:tc>
        <w:tc>
          <w:tcPr>
            <w:tcW w:w="5103" w:type="dxa"/>
            <w:gridSpan w:val="5"/>
            <w:tcBorders>
              <w:top w:val="single" w:sz="16" w:space="0" w:color="000000"/>
              <w:left w:val="single" w:sz="16" w:space="0" w:color="000000"/>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Paired Differences</w:t>
            </w:r>
          </w:p>
        </w:tc>
        <w:tc>
          <w:tcPr>
            <w:tcW w:w="567" w:type="dxa"/>
            <w:vMerge w:val="restart"/>
            <w:tcBorders>
              <w:top w:val="single" w:sz="16" w:space="0" w:color="000000"/>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T</w:t>
            </w:r>
          </w:p>
        </w:tc>
        <w:tc>
          <w:tcPr>
            <w:tcW w:w="284" w:type="dxa"/>
            <w:vMerge w:val="restart"/>
            <w:tcBorders>
              <w:top w:val="single" w:sz="16" w:space="0" w:color="000000"/>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df</w:t>
            </w:r>
          </w:p>
        </w:tc>
        <w:tc>
          <w:tcPr>
            <w:tcW w:w="850" w:type="dxa"/>
            <w:vMerge w:val="restart"/>
            <w:tcBorders>
              <w:top w:val="single" w:sz="16" w:space="0" w:color="000000"/>
              <w:right w:val="single" w:sz="16" w:space="0" w:color="000000"/>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Sig. (2-tailed)</w:t>
            </w:r>
          </w:p>
        </w:tc>
      </w:tr>
      <w:tr w:rsidR="0035421E" w:rsidRPr="0035421E" w:rsidTr="0035421E">
        <w:trPr>
          <w:cantSplit/>
        </w:trPr>
        <w:tc>
          <w:tcPr>
            <w:tcW w:w="1843" w:type="dxa"/>
            <w:gridSpan w:val="2"/>
            <w:vMerge/>
            <w:tcBorders>
              <w:top w:val="single" w:sz="16" w:space="0" w:color="000000"/>
              <w:left w:val="single" w:sz="16" w:space="0" w:color="000000"/>
              <w:bottom w:val="nil"/>
              <w:right w:val="nil"/>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992" w:type="dxa"/>
            <w:vMerge w:val="restart"/>
            <w:tcBorders>
              <w:left w:val="single" w:sz="16" w:space="0" w:color="000000"/>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Mean</w:t>
            </w:r>
          </w:p>
        </w:tc>
        <w:tc>
          <w:tcPr>
            <w:tcW w:w="993" w:type="dxa"/>
            <w:vMerge w:val="restart"/>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Std. Deviation</w:t>
            </w:r>
          </w:p>
        </w:tc>
        <w:tc>
          <w:tcPr>
            <w:tcW w:w="992" w:type="dxa"/>
            <w:vMerge w:val="restart"/>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Std. Error Mean</w:t>
            </w:r>
          </w:p>
        </w:tc>
        <w:tc>
          <w:tcPr>
            <w:tcW w:w="2126" w:type="dxa"/>
            <w:gridSpan w:val="2"/>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95% Confidence Interval of the Difference</w:t>
            </w:r>
          </w:p>
        </w:tc>
        <w:tc>
          <w:tcPr>
            <w:tcW w:w="567" w:type="dxa"/>
            <w:vMerge/>
            <w:tcBorders>
              <w:top w:val="single" w:sz="16" w:space="0" w:color="000000"/>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284" w:type="dxa"/>
            <w:vMerge/>
            <w:tcBorders>
              <w:top w:val="single" w:sz="16" w:space="0" w:color="000000"/>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850" w:type="dxa"/>
            <w:vMerge/>
            <w:tcBorders>
              <w:top w:val="single" w:sz="16" w:space="0" w:color="000000"/>
              <w:right w:val="single" w:sz="16" w:space="0" w:color="000000"/>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r>
      <w:tr w:rsidR="0035421E" w:rsidRPr="0035421E" w:rsidTr="0035421E">
        <w:trPr>
          <w:cantSplit/>
        </w:trPr>
        <w:tc>
          <w:tcPr>
            <w:tcW w:w="1843" w:type="dxa"/>
            <w:gridSpan w:val="2"/>
            <w:vMerge/>
            <w:tcBorders>
              <w:top w:val="single" w:sz="16" w:space="0" w:color="000000"/>
              <w:left w:val="single" w:sz="16" w:space="0" w:color="000000"/>
              <w:bottom w:val="nil"/>
              <w:right w:val="nil"/>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992" w:type="dxa"/>
            <w:vMerge/>
            <w:tcBorders>
              <w:left w:val="single" w:sz="16" w:space="0" w:color="000000"/>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993" w:type="dxa"/>
            <w:vMerge/>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992" w:type="dxa"/>
            <w:vMerge/>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1134" w:type="dxa"/>
            <w:tcBorders>
              <w:bottom w:val="single" w:sz="16" w:space="0" w:color="000000"/>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Lower</w:t>
            </w:r>
          </w:p>
        </w:tc>
        <w:tc>
          <w:tcPr>
            <w:tcW w:w="992" w:type="dxa"/>
            <w:tcBorders>
              <w:bottom w:val="single" w:sz="16" w:space="0" w:color="000000"/>
            </w:tcBorders>
            <w:shd w:val="clear" w:color="auto" w:fill="FFFFFF"/>
          </w:tcPr>
          <w:p w:rsidR="0035421E" w:rsidRPr="0035421E" w:rsidRDefault="0035421E" w:rsidP="0035421E">
            <w:pPr>
              <w:autoSpaceDE w:val="0"/>
              <w:autoSpaceDN w:val="0"/>
              <w:adjustRightInd w:val="0"/>
              <w:spacing w:after="0" w:line="240" w:lineRule="auto"/>
              <w:ind w:left="60" w:right="60"/>
              <w:jc w:val="center"/>
              <w:rPr>
                <w:rFonts w:ascii="Arial" w:hAnsi="Arial" w:cs="Arial"/>
                <w:color w:val="000000"/>
                <w:sz w:val="20"/>
                <w:szCs w:val="20"/>
              </w:rPr>
            </w:pPr>
            <w:r w:rsidRPr="0035421E">
              <w:rPr>
                <w:rFonts w:ascii="Arial" w:hAnsi="Arial" w:cs="Arial"/>
                <w:color w:val="000000"/>
                <w:sz w:val="20"/>
                <w:szCs w:val="20"/>
              </w:rPr>
              <w:t>Upper</w:t>
            </w:r>
          </w:p>
        </w:tc>
        <w:tc>
          <w:tcPr>
            <w:tcW w:w="567" w:type="dxa"/>
            <w:vMerge/>
            <w:tcBorders>
              <w:top w:val="single" w:sz="16" w:space="0" w:color="000000"/>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284" w:type="dxa"/>
            <w:vMerge/>
            <w:tcBorders>
              <w:top w:val="single" w:sz="16" w:space="0" w:color="000000"/>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c>
          <w:tcPr>
            <w:tcW w:w="850" w:type="dxa"/>
            <w:vMerge/>
            <w:tcBorders>
              <w:top w:val="single" w:sz="16" w:space="0" w:color="000000"/>
              <w:right w:val="single" w:sz="16" w:space="0" w:color="000000"/>
            </w:tcBorders>
            <w:shd w:val="clear" w:color="auto" w:fill="FFFFFF"/>
          </w:tcPr>
          <w:p w:rsidR="0035421E" w:rsidRPr="0035421E" w:rsidRDefault="0035421E" w:rsidP="0035421E">
            <w:pPr>
              <w:autoSpaceDE w:val="0"/>
              <w:autoSpaceDN w:val="0"/>
              <w:adjustRightInd w:val="0"/>
              <w:spacing w:after="0" w:line="240" w:lineRule="auto"/>
              <w:rPr>
                <w:rFonts w:ascii="Arial" w:hAnsi="Arial" w:cs="Arial"/>
                <w:color w:val="000000"/>
                <w:sz w:val="20"/>
                <w:szCs w:val="20"/>
              </w:rPr>
            </w:pPr>
          </w:p>
        </w:tc>
      </w:tr>
      <w:tr w:rsidR="0035421E" w:rsidRPr="0035421E" w:rsidTr="0035421E">
        <w:trPr>
          <w:cantSplit/>
        </w:trPr>
        <w:tc>
          <w:tcPr>
            <w:tcW w:w="834" w:type="dxa"/>
            <w:tcBorders>
              <w:top w:val="single" w:sz="16" w:space="0" w:color="000000"/>
              <w:left w:val="single" w:sz="16" w:space="0" w:color="000000"/>
              <w:bottom w:val="nil"/>
              <w:right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t>Pair 1</w:t>
            </w:r>
          </w:p>
        </w:tc>
        <w:tc>
          <w:tcPr>
            <w:tcW w:w="1009" w:type="dxa"/>
            <w:tcBorders>
              <w:top w:val="single" w:sz="16" w:space="0" w:color="000000"/>
              <w:left w:val="nil"/>
              <w:bottom w:val="nil"/>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t>BCAsblm - BCAsdh</w:t>
            </w:r>
          </w:p>
        </w:tc>
        <w:tc>
          <w:tcPr>
            <w:tcW w:w="992" w:type="dxa"/>
            <w:tcBorders>
              <w:top w:val="single" w:sz="16" w:space="0" w:color="000000"/>
              <w:left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2,29500</w:t>
            </w:r>
          </w:p>
        </w:tc>
        <w:tc>
          <w:tcPr>
            <w:tcW w:w="993" w:type="dxa"/>
            <w:tcBorders>
              <w:top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17,42333</w:t>
            </w:r>
          </w:p>
        </w:tc>
        <w:tc>
          <w:tcPr>
            <w:tcW w:w="992" w:type="dxa"/>
            <w:tcBorders>
              <w:top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8,71167</w:t>
            </w:r>
          </w:p>
        </w:tc>
        <w:tc>
          <w:tcPr>
            <w:tcW w:w="1134" w:type="dxa"/>
            <w:tcBorders>
              <w:top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-25,42941</w:t>
            </w:r>
          </w:p>
        </w:tc>
        <w:tc>
          <w:tcPr>
            <w:tcW w:w="992" w:type="dxa"/>
            <w:tcBorders>
              <w:top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30,01941</w:t>
            </w:r>
          </w:p>
        </w:tc>
        <w:tc>
          <w:tcPr>
            <w:tcW w:w="567" w:type="dxa"/>
            <w:tcBorders>
              <w:top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,263</w:t>
            </w:r>
          </w:p>
        </w:tc>
        <w:tc>
          <w:tcPr>
            <w:tcW w:w="284" w:type="dxa"/>
            <w:tcBorders>
              <w:top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w:t>
            </w:r>
          </w:p>
        </w:tc>
        <w:tc>
          <w:tcPr>
            <w:tcW w:w="850" w:type="dxa"/>
            <w:tcBorders>
              <w:top w:val="single" w:sz="16" w:space="0" w:color="000000"/>
              <w:bottom w:val="nil"/>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,809</w:t>
            </w:r>
          </w:p>
        </w:tc>
      </w:tr>
      <w:tr w:rsidR="0035421E" w:rsidRPr="0035421E" w:rsidTr="0035421E">
        <w:trPr>
          <w:cantSplit/>
        </w:trPr>
        <w:tc>
          <w:tcPr>
            <w:tcW w:w="834" w:type="dxa"/>
            <w:tcBorders>
              <w:top w:val="nil"/>
              <w:left w:val="single" w:sz="16" w:space="0" w:color="000000"/>
              <w:bottom w:val="nil"/>
              <w:right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t>Pair 2</w:t>
            </w:r>
          </w:p>
        </w:tc>
        <w:tc>
          <w:tcPr>
            <w:tcW w:w="1009" w:type="dxa"/>
            <w:tcBorders>
              <w:top w:val="nil"/>
              <w:left w:val="nil"/>
              <w:bottom w:val="nil"/>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t>BTNsblm - BTNsdh</w:t>
            </w:r>
          </w:p>
        </w:tc>
        <w:tc>
          <w:tcPr>
            <w:tcW w:w="992" w:type="dxa"/>
            <w:tcBorders>
              <w:top w:val="nil"/>
              <w:left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3,80250</w:t>
            </w:r>
          </w:p>
        </w:tc>
        <w:tc>
          <w:tcPr>
            <w:tcW w:w="993"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28,34133</w:t>
            </w:r>
          </w:p>
        </w:tc>
        <w:tc>
          <w:tcPr>
            <w:tcW w:w="992"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14,17067</w:t>
            </w:r>
          </w:p>
        </w:tc>
        <w:tc>
          <w:tcPr>
            <w:tcW w:w="1134"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-41,29488</w:t>
            </w:r>
          </w:p>
        </w:tc>
        <w:tc>
          <w:tcPr>
            <w:tcW w:w="992"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48,89988</w:t>
            </w:r>
          </w:p>
        </w:tc>
        <w:tc>
          <w:tcPr>
            <w:tcW w:w="567"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,268</w:t>
            </w:r>
          </w:p>
        </w:tc>
        <w:tc>
          <w:tcPr>
            <w:tcW w:w="284"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w:t>
            </w:r>
          </w:p>
        </w:tc>
        <w:tc>
          <w:tcPr>
            <w:tcW w:w="850" w:type="dxa"/>
            <w:tcBorders>
              <w:top w:val="nil"/>
              <w:bottom w:val="nil"/>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,806</w:t>
            </w:r>
          </w:p>
        </w:tc>
      </w:tr>
      <w:tr w:rsidR="0035421E" w:rsidRPr="0035421E" w:rsidTr="0035421E">
        <w:trPr>
          <w:cantSplit/>
        </w:trPr>
        <w:tc>
          <w:tcPr>
            <w:tcW w:w="834" w:type="dxa"/>
            <w:tcBorders>
              <w:top w:val="nil"/>
              <w:left w:val="single" w:sz="16" w:space="0" w:color="000000"/>
              <w:bottom w:val="nil"/>
              <w:right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t>Pair 3</w:t>
            </w:r>
          </w:p>
        </w:tc>
        <w:tc>
          <w:tcPr>
            <w:tcW w:w="1009" w:type="dxa"/>
            <w:tcBorders>
              <w:top w:val="nil"/>
              <w:left w:val="nil"/>
              <w:bottom w:val="nil"/>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t>MDRsblm - MDRsdh</w:t>
            </w:r>
          </w:p>
        </w:tc>
        <w:tc>
          <w:tcPr>
            <w:tcW w:w="992" w:type="dxa"/>
            <w:tcBorders>
              <w:top w:val="nil"/>
              <w:left w:val="single" w:sz="16" w:space="0" w:color="000000"/>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2,85500</w:t>
            </w:r>
          </w:p>
        </w:tc>
        <w:tc>
          <w:tcPr>
            <w:tcW w:w="993"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6,54824</w:t>
            </w:r>
          </w:p>
        </w:tc>
        <w:tc>
          <w:tcPr>
            <w:tcW w:w="992"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3,27412</w:t>
            </w:r>
          </w:p>
        </w:tc>
        <w:tc>
          <w:tcPr>
            <w:tcW w:w="1134"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-7,56472</w:t>
            </w:r>
          </w:p>
        </w:tc>
        <w:tc>
          <w:tcPr>
            <w:tcW w:w="992"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13,27472</w:t>
            </w:r>
          </w:p>
        </w:tc>
        <w:tc>
          <w:tcPr>
            <w:tcW w:w="567"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,872</w:t>
            </w:r>
          </w:p>
        </w:tc>
        <w:tc>
          <w:tcPr>
            <w:tcW w:w="284" w:type="dxa"/>
            <w:tcBorders>
              <w:top w:val="nil"/>
              <w:bottom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w:t>
            </w:r>
          </w:p>
        </w:tc>
        <w:tc>
          <w:tcPr>
            <w:tcW w:w="850" w:type="dxa"/>
            <w:tcBorders>
              <w:top w:val="nil"/>
              <w:bottom w:val="nil"/>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,447</w:t>
            </w:r>
          </w:p>
        </w:tc>
      </w:tr>
      <w:tr w:rsidR="0035421E" w:rsidRPr="0035421E" w:rsidTr="0035421E">
        <w:trPr>
          <w:cantSplit/>
        </w:trPr>
        <w:tc>
          <w:tcPr>
            <w:tcW w:w="834" w:type="dxa"/>
            <w:tcBorders>
              <w:top w:val="nil"/>
              <w:left w:val="single" w:sz="16" w:space="0" w:color="000000"/>
              <w:bottom w:val="single" w:sz="16" w:space="0" w:color="000000"/>
              <w:right w:val="nil"/>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lastRenderedPageBreak/>
              <w:t>Pair 4</w:t>
            </w:r>
          </w:p>
        </w:tc>
        <w:tc>
          <w:tcPr>
            <w:tcW w:w="1009" w:type="dxa"/>
            <w:tcBorders>
              <w:top w:val="nil"/>
              <w:left w:val="nil"/>
              <w:bottom w:val="single" w:sz="16" w:space="0" w:color="000000"/>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rPr>
                <w:rFonts w:ascii="Arial" w:hAnsi="Arial" w:cs="Arial"/>
                <w:color w:val="000000"/>
                <w:sz w:val="20"/>
                <w:szCs w:val="20"/>
              </w:rPr>
            </w:pPr>
            <w:r w:rsidRPr="0035421E">
              <w:rPr>
                <w:rFonts w:ascii="Arial" w:hAnsi="Arial" w:cs="Arial"/>
                <w:color w:val="000000"/>
                <w:sz w:val="20"/>
                <w:szCs w:val="20"/>
              </w:rPr>
              <w:t>Paninsblm – Paninsdh</w:t>
            </w:r>
          </w:p>
        </w:tc>
        <w:tc>
          <w:tcPr>
            <w:tcW w:w="992" w:type="dxa"/>
            <w:tcBorders>
              <w:top w:val="nil"/>
              <w:left w:val="single" w:sz="16" w:space="0" w:color="000000"/>
              <w:bottom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10,07750</w:t>
            </w:r>
          </w:p>
        </w:tc>
        <w:tc>
          <w:tcPr>
            <w:tcW w:w="993" w:type="dxa"/>
            <w:tcBorders>
              <w:top w:val="nil"/>
              <w:bottom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20,29290</w:t>
            </w:r>
          </w:p>
        </w:tc>
        <w:tc>
          <w:tcPr>
            <w:tcW w:w="992" w:type="dxa"/>
            <w:tcBorders>
              <w:top w:val="nil"/>
              <w:bottom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10,14645</w:t>
            </w:r>
          </w:p>
        </w:tc>
        <w:tc>
          <w:tcPr>
            <w:tcW w:w="1134" w:type="dxa"/>
            <w:tcBorders>
              <w:top w:val="nil"/>
              <w:bottom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-22,21303</w:t>
            </w:r>
          </w:p>
        </w:tc>
        <w:tc>
          <w:tcPr>
            <w:tcW w:w="992" w:type="dxa"/>
            <w:tcBorders>
              <w:top w:val="nil"/>
              <w:bottom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42,36803</w:t>
            </w:r>
          </w:p>
        </w:tc>
        <w:tc>
          <w:tcPr>
            <w:tcW w:w="567" w:type="dxa"/>
            <w:tcBorders>
              <w:top w:val="nil"/>
              <w:bottom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,993</w:t>
            </w:r>
          </w:p>
        </w:tc>
        <w:tc>
          <w:tcPr>
            <w:tcW w:w="284" w:type="dxa"/>
            <w:tcBorders>
              <w:top w:val="nil"/>
              <w:bottom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w:t>
            </w:r>
          </w:p>
        </w:tc>
        <w:tc>
          <w:tcPr>
            <w:tcW w:w="850" w:type="dxa"/>
            <w:tcBorders>
              <w:top w:val="nil"/>
              <w:bottom w:val="single" w:sz="16" w:space="0" w:color="000000"/>
              <w:right w:val="single" w:sz="16" w:space="0" w:color="000000"/>
            </w:tcBorders>
            <w:shd w:val="clear" w:color="auto" w:fill="FFFFFF"/>
            <w:vAlign w:val="center"/>
          </w:tcPr>
          <w:p w:rsidR="0035421E" w:rsidRPr="0035421E" w:rsidRDefault="0035421E" w:rsidP="0035421E">
            <w:pPr>
              <w:autoSpaceDE w:val="0"/>
              <w:autoSpaceDN w:val="0"/>
              <w:adjustRightInd w:val="0"/>
              <w:spacing w:after="0" w:line="240" w:lineRule="auto"/>
              <w:ind w:left="60" w:right="60"/>
              <w:jc w:val="right"/>
              <w:rPr>
                <w:rFonts w:ascii="Arial" w:hAnsi="Arial" w:cs="Arial"/>
                <w:color w:val="000000"/>
                <w:sz w:val="20"/>
                <w:szCs w:val="20"/>
              </w:rPr>
            </w:pPr>
            <w:r w:rsidRPr="0035421E">
              <w:rPr>
                <w:rFonts w:ascii="Arial" w:hAnsi="Arial" w:cs="Arial"/>
                <w:color w:val="000000"/>
                <w:sz w:val="20"/>
                <w:szCs w:val="20"/>
              </w:rPr>
              <w:t>,394</w:t>
            </w:r>
          </w:p>
        </w:tc>
      </w:tr>
    </w:tbl>
    <w:p w:rsidR="0035421E" w:rsidRPr="00AE187F" w:rsidRDefault="0035421E" w:rsidP="00AE187F">
      <w:pPr>
        <w:autoSpaceDE w:val="0"/>
        <w:autoSpaceDN w:val="0"/>
        <w:adjustRightInd w:val="0"/>
        <w:spacing w:after="0" w:line="240" w:lineRule="auto"/>
        <w:rPr>
          <w:rFonts w:ascii="Times New Roman" w:hAnsi="Times New Roman" w:cs="Times New Roman"/>
          <w:b/>
          <w:sz w:val="20"/>
          <w:szCs w:val="20"/>
        </w:rPr>
      </w:pPr>
      <w:r w:rsidRPr="0035421E">
        <w:rPr>
          <w:rFonts w:ascii="Times New Roman" w:hAnsi="Times New Roman" w:cs="Times New Roman"/>
          <w:b/>
          <w:sz w:val="20"/>
          <w:szCs w:val="20"/>
        </w:rPr>
        <w:t>Sumber : Olahan SPSS</w:t>
      </w:r>
    </w:p>
    <w:p w:rsidR="0035421E" w:rsidRPr="0035421E" w:rsidRDefault="0035421E" w:rsidP="0035421E">
      <w:pPr>
        <w:autoSpaceDE w:val="0"/>
        <w:autoSpaceDN w:val="0"/>
        <w:adjustRightInd w:val="0"/>
        <w:spacing w:after="0" w:line="240" w:lineRule="auto"/>
        <w:jc w:val="both"/>
        <w:rPr>
          <w:rFonts w:ascii="Times New Roman" w:hAnsi="Times New Roman" w:cs="Times New Roman"/>
        </w:rPr>
      </w:pPr>
      <w:r w:rsidRPr="0035421E">
        <w:rPr>
          <w:rFonts w:ascii="Times New Roman" w:hAnsi="Times New Roman" w:cs="Times New Roman"/>
        </w:rPr>
        <w:tab/>
        <w:t xml:space="preserve">Tabel 4.8 di atas dinamakan tabel Paired Samples Test atau uji t berpasangan, Tabel ini merupakan tabel yang memberikan informasi mengenai apakah ada perbedaan antara pertumbuhan kredit di bank BCA, BTN, Mandiri, Panin sebelum dan sesudah ada penerapan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No. 11/25/PBI/2009.</w:t>
      </w:r>
    </w:p>
    <w:p w:rsidR="0035421E" w:rsidRPr="0035421E" w:rsidRDefault="0035421E" w:rsidP="0035421E">
      <w:pPr>
        <w:autoSpaceDE w:val="0"/>
        <w:autoSpaceDN w:val="0"/>
        <w:adjustRightInd w:val="0"/>
        <w:spacing w:after="0" w:line="240" w:lineRule="auto"/>
        <w:ind w:firstLine="720"/>
        <w:jc w:val="both"/>
        <w:rPr>
          <w:rFonts w:ascii="Times New Roman" w:hAnsi="Times New Roman" w:cs="Times New Roman"/>
        </w:rPr>
      </w:pPr>
      <w:r w:rsidRPr="0035421E">
        <w:rPr>
          <w:rFonts w:ascii="Times New Roman" w:hAnsi="Times New Roman" w:cs="Times New Roman"/>
        </w:rPr>
        <w:t xml:space="preserve">Pada Tabel 4.8 di atas dapat dilihat hasil dari paired samples test dari ke 4 bank yaitu bank BCA, BTN, Mandiri, Panin sebelum dan sesudah ada penerapan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hasil dari t hitung untuk masing-masing bank yaitu :</w:t>
      </w:r>
    </w:p>
    <w:p w:rsidR="0035421E" w:rsidRPr="0035421E" w:rsidRDefault="0035421E" w:rsidP="0035421E">
      <w:pPr>
        <w:pStyle w:val="ListParagraph"/>
        <w:numPr>
          <w:ilvl w:val="0"/>
          <w:numId w:val="11"/>
        </w:numPr>
        <w:autoSpaceDE w:val="0"/>
        <w:autoSpaceDN w:val="0"/>
        <w:adjustRightInd w:val="0"/>
        <w:spacing w:after="0" w:line="240" w:lineRule="auto"/>
        <w:ind w:left="284" w:hanging="284"/>
        <w:jc w:val="both"/>
        <w:rPr>
          <w:rFonts w:ascii="Times New Roman" w:hAnsi="Times New Roman" w:cs="Times New Roman"/>
        </w:rPr>
      </w:pPr>
      <w:r w:rsidRPr="0035421E">
        <w:rPr>
          <w:rFonts w:ascii="Times New Roman" w:hAnsi="Times New Roman" w:cs="Times New Roman"/>
        </w:rPr>
        <w:t>Untuk bank BCA hasil t hitung 0,809 &gt; 0,05 berarti Ho diterima H1 ditolak.</w:t>
      </w:r>
    </w:p>
    <w:p w:rsidR="0035421E" w:rsidRPr="0035421E" w:rsidRDefault="0035421E" w:rsidP="0035421E">
      <w:pPr>
        <w:pStyle w:val="ListParagraph"/>
        <w:numPr>
          <w:ilvl w:val="0"/>
          <w:numId w:val="11"/>
        </w:numPr>
        <w:autoSpaceDE w:val="0"/>
        <w:autoSpaceDN w:val="0"/>
        <w:adjustRightInd w:val="0"/>
        <w:spacing w:after="0" w:line="240" w:lineRule="auto"/>
        <w:ind w:left="284" w:hanging="284"/>
        <w:jc w:val="both"/>
        <w:rPr>
          <w:rFonts w:ascii="Times New Roman" w:hAnsi="Times New Roman" w:cs="Times New Roman"/>
        </w:rPr>
      </w:pPr>
      <w:r w:rsidRPr="0035421E">
        <w:rPr>
          <w:rFonts w:ascii="Times New Roman" w:hAnsi="Times New Roman" w:cs="Times New Roman"/>
        </w:rPr>
        <w:t>Untuk bank BTN hasil t hitung 0,806 &gt; 0,05 berarti Ho diterima H1 ditolak.</w:t>
      </w:r>
    </w:p>
    <w:p w:rsidR="0035421E" w:rsidRPr="0035421E" w:rsidRDefault="0035421E" w:rsidP="0035421E">
      <w:pPr>
        <w:pStyle w:val="ListParagraph"/>
        <w:numPr>
          <w:ilvl w:val="0"/>
          <w:numId w:val="11"/>
        </w:numPr>
        <w:autoSpaceDE w:val="0"/>
        <w:autoSpaceDN w:val="0"/>
        <w:adjustRightInd w:val="0"/>
        <w:spacing w:after="0" w:line="240" w:lineRule="auto"/>
        <w:ind w:left="284" w:hanging="284"/>
        <w:jc w:val="both"/>
        <w:rPr>
          <w:rFonts w:ascii="Times New Roman" w:hAnsi="Times New Roman" w:cs="Times New Roman"/>
        </w:rPr>
      </w:pPr>
      <w:r w:rsidRPr="0035421E">
        <w:rPr>
          <w:rFonts w:ascii="Times New Roman" w:hAnsi="Times New Roman" w:cs="Times New Roman"/>
        </w:rPr>
        <w:t>Untuk bank Mandiri hasil t hitung 0,477 &gt; 0,05 berarti Ho di terima H1 ditolak.</w:t>
      </w:r>
    </w:p>
    <w:p w:rsidR="0035421E" w:rsidRPr="0035421E" w:rsidRDefault="0035421E" w:rsidP="0035421E">
      <w:pPr>
        <w:pStyle w:val="ListParagraph"/>
        <w:numPr>
          <w:ilvl w:val="0"/>
          <w:numId w:val="11"/>
        </w:numPr>
        <w:autoSpaceDE w:val="0"/>
        <w:autoSpaceDN w:val="0"/>
        <w:adjustRightInd w:val="0"/>
        <w:spacing w:after="0" w:line="240" w:lineRule="auto"/>
        <w:ind w:left="284" w:hanging="284"/>
        <w:jc w:val="both"/>
        <w:rPr>
          <w:rFonts w:ascii="Times New Roman" w:hAnsi="Times New Roman" w:cs="Times New Roman"/>
        </w:rPr>
      </w:pPr>
      <w:r w:rsidRPr="0035421E">
        <w:rPr>
          <w:rFonts w:ascii="Times New Roman" w:hAnsi="Times New Roman" w:cs="Times New Roman"/>
        </w:rPr>
        <w:t>Untuk bank Panin hasil t hitung 0,394 &gt; 0,05 berarti Ho di terima H1 ditolak.</w:t>
      </w:r>
    </w:p>
    <w:p w:rsidR="0035421E" w:rsidRDefault="0035421E" w:rsidP="0035421E">
      <w:pPr>
        <w:autoSpaceDE w:val="0"/>
        <w:autoSpaceDN w:val="0"/>
        <w:adjustRightInd w:val="0"/>
        <w:spacing w:after="0" w:line="240" w:lineRule="auto"/>
        <w:ind w:firstLine="720"/>
        <w:jc w:val="both"/>
        <w:rPr>
          <w:rFonts w:ascii="Times New Roman" w:hAnsi="Times New Roman" w:cs="Times New Roman"/>
        </w:rPr>
      </w:pPr>
      <w:r w:rsidRPr="0035421E">
        <w:rPr>
          <w:rFonts w:ascii="Times New Roman" w:hAnsi="Times New Roman" w:cs="Times New Roman"/>
        </w:rPr>
        <w:t xml:space="preserve"> Dari ke 4 bank tersebut hasil dari pengujian adalah Ho di terima dan H1 ditolak, berarti tidak terdapat perbedaan pertumbuhan kredit properti yang signifikan sebelum dan sesudah penerapan kebijakan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No. 11/25.PBI/2009. Jadi tidak terdapat pengaruh penerapan </w:t>
      </w:r>
      <w:r w:rsidRPr="0035421E">
        <w:rPr>
          <w:rFonts w:ascii="Times New Roman" w:hAnsi="Times New Roman" w:cs="Times New Roman"/>
          <w:i/>
        </w:rPr>
        <w:t>Loan to Value</w:t>
      </w:r>
      <w:r w:rsidRPr="0035421E">
        <w:rPr>
          <w:rFonts w:ascii="Times New Roman" w:hAnsi="Times New Roman" w:cs="Times New Roman"/>
        </w:rPr>
        <w:t xml:space="preserve"> (LTV) sebelum dan sesudah Peraturan Bank Indonesia No. 11/25/PBI/2009 terhadap pertumbuhan kredit properti.</w:t>
      </w:r>
    </w:p>
    <w:p w:rsidR="00F215F6" w:rsidRPr="00F215F6" w:rsidRDefault="00F215F6" w:rsidP="00F215F6">
      <w:pPr>
        <w:spacing w:after="0" w:line="240" w:lineRule="auto"/>
        <w:ind w:firstLine="720"/>
        <w:jc w:val="both"/>
        <w:rPr>
          <w:rFonts w:ascii="Times New Roman" w:hAnsi="Times New Roman" w:cs="Times New Roman"/>
        </w:rPr>
      </w:pPr>
      <w:r w:rsidRPr="00F215F6">
        <w:rPr>
          <w:rFonts w:ascii="Times New Roman" w:hAnsi="Times New Roman" w:cs="Times New Roman"/>
        </w:rPr>
        <w:t>Menurut situs web bank Mandiri  (</w:t>
      </w:r>
      <w:hyperlink r:id="rId7" w:history="1">
        <w:r w:rsidRPr="00F215F6">
          <w:rPr>
            <w:rStyle w:val="Hyperlink"/>
            <w:rFonts w:ascii="Times New Roman" w:hAnsi="Times New Roman" w:cs="Times New Roman"/>
            <w:color w:val="auto"/>
          </w:rPr>
          <w:t>http://www.bankmandiri.co.id</w:t>
        </w:r>
      </w:hyperlink>
      <w:r w:rsidRPr="00F215F6">
        <w:rPr>
          <w:rFonts w:ascii="Times New Roman" w:hAnsi="Times New Roman" w:cs="Times New Roman"/>
        </w:rPr>
        <w:t xml:space="preserve"> diunduh tanggal 25 Desember 2014) Faktor-faktor yang mempengaruhi pertumbuhan kredit properti yaitu :</w:t>
      </w:r>
    </w:p>
    <w:p w:rsidR="00F215F6" w:rsidRPr="00F215F6" w:rsidRDefault="00F215F6" w:rsidP="00F215F6">
      <w:pPr>
        <w:pStyle w:val="ListParagraph"/>
        <w:numPr>
          <w:ilvl w:val="0"/>
          <w:numId w:val="13"/>
        </w:numPr>
        <w:spacing w:after="0" w:line="240" w:lineRule="auto"/>
        <w:jc w:val="both"/>
        <w:rPr>
          <w:rFonts w:ascii="Times New Roman" w:hAnsi="Times New Roman" w:cs="Times New Roman"/>
        </w:rPr>
      </w:pPr>
      <w:r w:rsidRPr="00F215F6">
        <w:rPr>
          <w:rFonts w:ascii="Times New Roman" w:hAnsi="Times New Roman" w:cs="Times New Roman"/>
        </w:rPr>
        <w:t xml:space="preserve">Faktor pertama adalah permintaan terhadap produk properti yang sangatbesar. Berdasarkan sensus penduduk tahun 2010 tercatat kebutuhan perumahan sebanyak 13,6 juta rumah sementara yang dapat dipenuhi baru 6,5 juta rumah sehingga kekurangan perumahan masih sekitar7,1 juta rumah. Selain kebutuhan dari dalam negeriyang tinggi, minat asing terhadap sektor properti di Indonesia juga merupakan sebuah peluang bisnis. Halini sejalan dengan perkembangan ekonomi Amerika Serikat dan Eropa yang masih belum menentu sehingga </w:t>
      </w:r>
      <w:r w:rsidRPr="00F215F6">
        <w:rPr>
          <w:rFonts w:ascii="Times New Roman" w:hAnsi="Times New Roman" w:cs="Times New Roman"/>
          <w:i/>
        </w:rPr>
        <w:t>emerging markets</w:t>
      </w:r>
      <w:r w:rsidRPr="00F215F6">
        <w:rPr>
          <w:rFonts w:ascii="Times New Roman" w:hAnsi="Times New Roman" w:cs="Times New Roman"/>
        </w:rPr>
        <w:t xml:space="preserve"> seperti Indonesia menjadiincaran para investor. Konsultan properti internasional Knight Frank memaparkan bahwa Indonesia dipandang sebagai negara terbaik di Asia Pasifik untuk bisnis properti residensial, berdasarkan tingkat pertumbuhan dan ketahanan terhadap krisis.</w:t>
      </w:r>
    </w:p>
    <w:p w:rsidR="00F215F6" w:rsidRPr="00F215F6" w:rsidRDefault="00F215F6" w:rsidP="00F215F6">
      <w:pPr>
        <w:pStyle w:val="ListParagraph"/>
        <w:numPr>
          <w:ilvl w:val="0"/>
          <w:numId w:val="13"/>
        </w:numPr>
        <w:spacing w:after="0" w:line="240" w:lineRule="auto"/>
        <w:jc w:val="both"/>
        <w:rPr>
          <w:rFonts w:ascii="Times New Roman" w:hAnsi="Times New Roman" w:cs="Times New Roman"/>
        </w:rPr>
      </w:pPr>
      <w:r w:rsidRPr="00F215F6">
        <w:rPr>
          <w:rFonts w:ascii="Times New Roman" w:hAnsi="Times New Roman" w:cs="Times New Roman"/>
        </w:rPr>
        <w:t xml:space="preserve">Kedua adalah kondisi ekonomi yang kondusif. Berbagai indikator kunci ekonomi makro pada tahun depan seperti tingkat inflasi, BI Rate dan tingkat suku bunga KPR yang diperkirakan akan tetap rendah sehingga mendukung pertumbuhan sektor properti. </w:t>
      </w:r>
    </w:p>
    <w:p w:rsidR="00F215F6" w:rsidRPr="00F215F6" w:rsidRDefault="00F215F6" w:rsidP="00F215F6">
      <w:pPr>
        <w:pStyle w:val="ListParagraph"/>
        <w:numPr>
          <w:ilvl w:val="0"/>
          <w:numId w:val="13"/>
        </w:numPr>
        <w:spacing w:after="0" w:line="240" w:lineRule="auto"/>
        <w:jc w:val="both"/>
        <w:rPr>
          <w:rFonts w:ascii="Times New Roman" w:hAnsi="Times New Roman" w:cs="Times New Roman"/>
        </w:rPr>
      </w:pPr>
      <w:r w:rsidRPr="00F215F6">
        <w:rPr>
          <w:rFonts w:ascii="Times New Roman" w:hAnsi="Times New Roman" w:cs="Times New Roman"/>
        </w:rPr>
        <w:t>Ketiga adalah pertumbuhan pendapatan perkapita dan pesatnya pertumbuhan masyarakat kelas menengah di Indonesia juga menjadi peluang emas bagi industri properti.</w:t>
      </w:r>
    </w:p>
    <w:p w:rsidR="0035421E" w:rsidRDefault="0035421E" w:rsidP="0035421E">
      <w:pPr>
        <w:autoSpaceDE w:val="0"/>
        <w:autoSpaceDN w:val="0"/>
        <w:adjustRightInd w:val="0"/>
        <w:spacing w:after="0" w:line="240" w:lineRule="auto"/>
        <w:rPr>
          <w:rFonts w:ascii="Times New Roman" w:hAnsi="Times New Roman" w:cs="Times New Roman"/>
          <w:sz w:val="24"/>
          <w:szCs w:val="24"/>
        </w:rPr>
      </w:pPr>
    </w:p>
    <w:p w:rsidR="0035421E" w:rsidRPr="0035421E" w:rsidRDefault="0035421E" w:rsidP="0035421E">
      <w:pPr>
        <w:spacing w:after="0" w:line="240" w:lineRule="auto"/>
        <w:rPr>
          <w:rFonts w:ascii="Times New Roman" w:hAnsi="Times New Roman" w:cs="Times New Roman"/>
          <w:b/>
        </w:rPr>
      </w:pPr>
      <w:r w:rsidRPr="0035421E">
        <w:rPr>
          <w:rFonts w:ascii="Times New Roman" w:hAnsi="Times New Roman" w:cs="Times New Roman"/>
          <w:b/>
        </w:rPr>
        <w:t>KESIMPULAN DAN SARAN</w:t>
      </w:r>
    </w:p>
    <w:p w:rsidR="0035421E" w:rsidRPr="0035421E" w:rsidRDefault="0035421E" w:rsidP="0035421E">
      <w:pPr>
        <w:spacing w:after="0" w:line="240" w:lineRule="auto"/>
        <w:jc w:val="center"/>
        <w:rPr>
          <w:rFonts w:ascii="Times New Roman" w:hAnsi="Times New Roman" w:cs="Times New Roman"/>
          <w:b/>
        </w:rPr>
      </w:pPr>
    </w:p>
    <w:p w:rsidR="0035421E" w:rsidRPr="0035421E" w:rsidRDefault="0035421E" w:rsidP="0035421E">
      <w:pPr>
        <w:spacing w:after="0" w:line="240" w:lineRule="auto"/>
        <w:jc w:val="both"/>
        <w:rPr>
          <w:rFonts w:ascii="Times New Roman" w:hAnsi="Times New Roman" w:cs="Times New Roman"/>
          <w:b/>
        </w:rPr>
      </w:pPr>
      <w:r w:rsidRPr="0035421E">
        <w:rPr>
          <w:rFonts w:ascii="Times New Roman" w:hAnsi="Times New Roman" w:cs="Times New Roman"/>
          <w:b/>
        </w:rPr>
        <w:t>Kesimpulan</w:t>
      </w:r>
    </w:p>
    <w:p w:rsidR="0035421E" w:rsidRPr="0035421E" w:rsidRDefault="0035421E" w:rsidP="0035421E">
      <w:pPr>
        <w:spacing w:after="0" w:line="240" w:lineRule="auto"/>
        <w:jc w:val="both"/>
        <w:rPr>
          <w:rFonts w:ascii="Times New Roman" w:hAnsi="Times New Roman" w:cs="Times New Roman"/>
        </w:rPr>
      </w:pPr>
      <w:r w:rsidRPr="0035421E">
        <w:rPr>
          <w:rFonts w:ascii="Times New Roman" w:hAnsi="Times New Roman" w:cs="Times New Roman"/>
          <w:b/>
        </w:rPr>
        <w:tab/>
      </w:r>
      <w:r w:rsidRPr="0035421E">
        <w:rPr>
          <w:rFonts w:ascii="Times New Roman" w:hAnsi="Times New Roman" w:cs="Times New Roman"/>
        </w:rPr>
        <w:t xml:space="preserve">Berdasarkan hasil penelitian dan pembahasan bab IV mengenai pertumbuhan kredit sebelum dan sesudah penerapan kebijakan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No. 11/25/PBI/2009 studi kasus pada bank BCA, BTN, Mandiri, Panin, dapat ditarik kesimpulan sebagai berikut:</w:t>
      </w:r>
    </w:p>
    <w:p w:rsidR="0035421E" w:rsidRPr="0035421E" w:rsidRDefault="0035421E" w:rsidP="0035421E">
      <w:pPr>
        <w:pStyle w:val="ListParagraph"/>
        <w:numPr>
          <w:ilvl w:val="0"/>
          <w:numId w:val="12"/>
        </w:numPr>
        <w:spacing w:after="0" w:line="240" w:lineRule="auto"/>
        <w:ind w:left="426" w:hanging="426"/>
        <w:jc w:val="both"/>
        <w:rPr>
          <w:rFonts w:ascii="Times New Roman" w:hAnsi="Times New Roman" w:cs="Times New Roman"/>
          <w:iCs/>
        </w:rPr>
      </w:pPr>
      <w:r w:rsidRPr="0035421E">
        <w:rPr>
          <w:rFonts w:ascii="Times New Roman" w:hAnsi="Times New Roman" w:cs="Times New Roman"/>
        </w:rPr>
        <w:t xml:space="preserve">Penerapan kebijakan </w:t>
      </w:r>
      <w:r w:rsidRPr="0035421E">
        <w:rPr>
          <w:rFonts w:ascii="Times New Roman" w:hAnsi="Times New Roman" w:cs="Times New Roman"/>
          <w:i/>
        </w:rPr>
        <w:t>Loan to Value</w:t>
      </w:r>
      <w:r w:rsidRPr="0035421E">
        <w:rPr>
          <w:rFonts w:ascii="Times New Roman" w:hAnsi="Times New Roman" w:cs="Times New Roman"/>
        </w:rPr>
        <w:t xml:space="preserve"> (LTV) sebelum ada Peraturan Bank Indonesia No. 11/25/PBI/2009 </w:t>
      </w:r>
      <w:r w:rsidRPr="0035421E">
        <w:rPr>
          <w:rFonts w:ascii="Times New Roman" w:hAnsi="Times New Roman" w:cs="Times New Roman"/>
          <w:iCs/>
        </w:rPr>
        <w:t xml:space="preserve">berinduk kepada Bank Indonesia, tetapi perbedaanya Bank Indonesia tidak menentukan batasan rasio dari </w:t>
      </w:r>
      <w:r w:rsidRPr="0035421E">
        <w:rPr>
          <w:rFonts w:ascii="Times New Roman" w:hAnsi="Times New Roman" w:cs="Times New Roman"/>
          <w:i/>
          <w:iCs/>
        </w:rPr>
        <w:t>Loan to Value</w:t>
      </w:r>
      <w:r w:rsidRPr="0035421E">
        <w:rPr>
          <w:rFonts w:ascii="Times New Roman" w:hAnsi="Times New Roman" w:cs="Times New Roman"/>
          <w:iCs/>
        </w:rPr>
        <w:t xml:space="preserve"> (LTV). Penentuannya </w:t>
      </w:r>
      <w:r w:rsidRPr="0035421E">
        <w:rPr>
          <w:rFonts w:ascii="Times New Roman" w:hAnsi="Times New Roman" w:cs="Times New Roman"/>
          <w:i/>
          <w:iCs/>
        </w:rPr>
        <w:t>Loan to Value</w:t>
      </w:r>
      <w:r w:rsidRPr="0035421E">
        <w:rPr>
          <w:rFonts w:ascii="Times New Roman" w:hAnsi="Times New Roman" w:cs="Times New Roman"/>
          <w:iCs/>
        </w:rPr>
        <w:t xml:space="preserve"> (LTV) sebelumnya di setiap Bank berbeda-beda tergantung SOP (</w:t>
      </w:r>
      <w:r w:rsidRPr="0035421E">
        <w:rPr>
          <w:rFonts w:ascii="Times New Roman" w:hAnsi="Times New Roman" w:cs="Times New Roman"/>
          <w:i/>
          <w:iCs/>
        </w:rPr>
        <w:t>Standar Operational Procedure)</w:t>
      </w:r>
      <w:r w:rsidRPr="0035421E">
        <w:rPr>
          <w:rFonts w:ascii="Times New Roman" w:hAnsi="Times New Roman" w:cs="Times New Roman"/>
          <w:iCs/>
        </w:rPr>
        <w:t xml:space="preserve"> bank tersebut. Penerapan </w:t>
      </w:r>
      <w:r w:rsidRPr="0035421E">
        <w:rPr>
          <w:rFonts w:ascii="Times New Roman" w:hAnsi="Times New Roman" w:cs="Times New Roman"/>
          <w:i/>
          <w:iCs/>
        </w:rPr>
        <w:t xml:space="preserve">Loan to Value </w:t>
      </w:r>
      <w:r w:rsidRPr="0035421E">
        <w:rPr>
          <w:rFonts w:ascii="Times New Roman" w:hAnsi="Times New Roman" w:cs="Times New Roman"/>
          <w:iCs/>
        </w:rPr>
        <w:t xml:space="preserve">(LTV) sesudah ada Peraturan Bank Indonesia No. 11/25/PBI/2009 di bank BCA, BTN, Mandiri, Panin, sudah mengikuti ketentuan Bank Indonesia yang sesuai dengan Surat Edaran Bank Indonesia. </w:t>
      </w:r>
    </w:p>
    <w:p w:rsidR="0035421E" w:rsidRPr="0035421E" w:rsidRDefault="0035421E" w:rsidP="0035421E">
      <w:pPr>
        <w:pStyle w:val="ListParagraph"/>
        <w:numPr>
          <w:ilvl w:val="0"/>
          <w:numId w:val="12"/>
        </w:numPr>
        <w:spacing w:after="0" w:line="240" w:lineRule="auto"/>
        <w:ind w:left="426" w:hanging="426"/>
        <w:jc w:val="both"/>
        <w:rPr>
          <w:rFonts w:ascii="Times New Roman" w:hAnsi="Times New Roman" w:cs="Times New Roman"/>
          <w:iCs/>
        </w:rPr>
      </w:pPr>
      <w:r w:rsidRPr="0035421E">
        <w:rPr>
          <w:rFonts w:ascii="Times New Roman" w:hAnsi="Times New Roman" w:cs="Times New Roman"/>
          <w:iCs/>
        </w:rPr>
        <w:lastRenderedPageBreak/>
        <w:t xml:space="preserve">Pertumbuhan kredit properti di bank BCA, BTN, Mandiri, Panin sebelum ada penerapan kebijakan </w:t>
      </w:r>
      <w:r w:rsidRPr="0035421E">
        <w:rPr>
          <w:rFonts w:ascii="Times New Roman" w:hAnsi="Times New Roman" w:cs="Times New Roman"/>
          <w:i/>
          <w:iCs/>
        </w:rPr>
        <w:t xml:space="preserve">Loan to Value </w:t>
      </w:r>
      <w:r w:rsidRPr="0035421E">
        <w:rPr>
          <w:rFonts w:ascii="Times New Roman" w:hAnsi="Times New Roman" w:cs="Times New Roman"/>
          <w:iCs/>
        </w:rPr>
        <w:t xml:space="preserve">(LTV) menurut Peraturan Bank Indonesia No. 11/25/PBI/2009 setiap tahunnya memiliki pertumbuhan yang berfluktuatifbaik dalam bentuk satuan (Rp) Miliar maupun dalam presentase (%). Pertumbuhan kredit properti di bank BCA, BTN, Mandiri, Panin sesudah ada penerapan kebijakan </w:t>
      </w:r>
      <w:r w:rsidRPr="0035421E">
        <w:rPr>
          <w:rFonts w:ascii="Times New Roman" w:hAnsi="Times New Roman" w:cs="Times New Roman"/>
          <w:i/>
          <w:iCs/>
        </w:rPr>
        <w:t xml:space="preserve">Loan to Value </w:t>
      </w:r>
      <w:r w:rsidRPr="0035421E">
        <w:rPr>
          <w:rFonts w:ascii="Times New Roman" w:hAnsi="Times New Roman" w:cs="Times New Roman"/>
          <w:iCs/>
        </w:rPr>
        <w:t>(LTV) menurut Peraturan Bank Indonesia No. 11/25/PBI/2009 memiliki pertumbuhan yang berfluktuatif dalam bentuk satuan (Rp) Miliar  maupun dalam presentase (%), penurunan pertumbuhan kredit properti yang tidak terlalu signifikan dari tahun ketahun.</w:t>
      </w:r>
    </w:p>
    <w:p w:rsidR="0035421E" w:rsidRPr="0035421E" w:rsidRDefault="0035421E" w:rsidP="0035421E">
      <w:pPr>
        <w:pStyle w:val="ListParagraph"/>
        <w:numPr>
          <w:ilvl w:val="0"/>
          <w:numId w:val="12"/>
        </w:numPr>
        <w:autoSpaceDE w:val="0"/>
        <w:autoSpaceDN w:val="0"/>
        <w:adjustRightInd w:val="0"/>
        <w:spacing w:after="0" w:line="240" w:lineRule="auto"/>
        <w:ind w:left="426" w:hanging="426"/>
        <w:jc w:val="both"/>
        <w:rPr>
          <w:rFonts w:ascii="Times New Roman" w:hAnsi="Times New Roman" w:cs="Times New Roman"/>
        </w:rPr>
      </w:pPr>
      <w:r w:rsidRPr="0035421E">
        <w:rPr>
          <w:rFonts w:ascii="Times New Roman" w:hAnsi="Times New Roman" w:cs="Times New Roman"/>
          <w:iCs/>
        </w:rPr>
        <w:t xml:space="preserve">Pertumbuhan kredit properti sebelum dan sesudah penerapan kebijakan </w:t>
      </w:r>
      <w:r w:rsidRPr="0035421E">
        <w:rPr>
          <w:rFonts w:ascii="Times New Roman" w:hAnsi="Times New Roman" w:cs="Times New Roman"/>
          <w:i/>
          <w:iCs/>
        </w:rPr>
        <w:t xml:space="preserve">Loan to Value </w:t>
      </w:r>
      <w:r w:rsidRPr="0035421E">
        <w:rPr>
          <w:rFonts w:ascii="Times New Roman" w:hAnsi="Times New Roman" w:cs="Times New Roman"/>
          <w:iCs/>
        </w:rPr>
        <w:t xml:space="preserve">(LTV) menurut Peraturan Bank Indonesia No. 11/25/PBI/2009 studi kasus pada bank BCA, BTN, Mandiri, Panin tidak memiliki perbedaan pertumbuhan yang signifikan, hal tersebut dapat di tunjukan dari </w:t>
      </w:r>
      <w:r w:rsidRPr="0035421E">
        <w:rPr>
          <w:rFonts w:ascii="Times New Roman" w:hAnsi="Times New Roman" w:cs="Times New Roman"/>
        </w:rPr>
        <w:t xml:space="preserve">adanya penurunan rata-rata pertumbuhan kredit di bank BCA sebesar </w:t>
      </w:r>
      <w:r w:rsidRPr="0035421E">
        <w:rPr>
          <w:rFonts w:ascii="Times New Roman" w:hAnsi="Times New Roman" w:cs="Times New Roman"/>
          <w:iCs/>
        </w:rPr>
        <w:t xml:space="preserve"> 2,29%, BTN mengalami penurunan sebesar 3,80%, bank Mandiri mengalami penurunan 2,85% dan bank Panin mengalami penurunan sebesar 10%</w:t>
      </w:r>
      <w:r w:rsidRPr="0035421E">
        <w:rPr>
          <w:rFonts w:ascii="Times New Roman" w:hAnsi="Times New Roman" w:cs="Times New Roman"/>
        </w:rPr>
        <w:t xml:space="preserve"> setelah ada penerapan kebijakan </w:t>
      </w:r>
      <w:r w:rsidRPr="0035421E">
        <w:rPr>
          <w:rFonts w:ascii="Times New Roman" w:hAnsi="Times New Roman" w:cs="Times New Roman"/>
          <w:i/>
        </w:rPr>
        <w:t>Loan to Value</w:t>
      </w:r>
      <w:r w:rsidRPr="0035421E">
        <w:rPr>
          <w:rFonts w:ascii="Times New Roman" w:hAnsi="Times New Roman" w:cs="Times New Roman"/>
        </w:rPr>
        <w:t xml:space="preserve"> (LTV) menurut Peraturan Bank Indonesia No. 11/25/PBI/2009 yang tidak terlalu signifikan. </w:t>
      </w:r>
      <w:r w:rsidRPr="0035421E">
        <w:rPr>
          <w:rFonts w:ascii="Times New Roman" w:hAnsi="Times New Roman" w:cs="Times New Roman"/>
          <w:iCs/>
        </w:rPr>
        <w:t>Jadi</w:t>
      </w:r>
      <w:r w:rsidRPr="0035421E">
        <w:rPr>
          <w:rFonts w:ascii="Times New Roman" w:hAnsi="Times New Roman" w:cs="Times New Roman"/>
        </w:rPr>
        <w:t xml:space="preserve"> tidak terdapat pengaruh penerapan </w:t>
      </w:r>
      <w:r w:rsidRPr="0035421E">
        <w:rPr>
          <w:rFonts w:ascii="Times New Roman" w:hAnsi="Times New Roman" w:cs="Times New Roman"/>
          <w:i/>
        </w:rPr>
        <w:t>Loan to Value</w:t>
      </w:r>
      <w:r w:rsidRPr="0035421E">
        <w:rPr>
          <w:rFonts w:ascii="Times New Roman" w:hAnsi="Times New Roman" w:cs="Times New Roman"/>
        </w:rPr>
        <w:t xml:space="preserve"> (LTV) sebelum dan sesudah Peraturan Bank Indonesia No. 11/25/PBI/2009 terhadap pertumbuhan kredit properti. </w:t>
      </w:r>
    </w:p>
    <w:p w:rsidR="0035421E" w:rsidRDefault="0035421E" w:rsidP="0035421E">
      <w:pPr>
        <w:tabs>
          <w:tab w:val="left" w:pos="567"/>
        </w:tabs>
        <w:spacing w:after="0" w:line="240" w:lineRule="auto"/>
        <w:jc w:val="both"/>
        <w:rPr>
          <w:rFonts w:ascii="Times New Roman" w:hAnsi="Times New Roman" w:cs="Times New Roman"/>
          <w:b/>
          <w:iCs/>
        </w:rPr>
      </w:pPr>
    </w:p>
    <w:p w:rsidR="0035421E" w:rsidRDefault="0035421E" w:rsidP="0035421E">
      <w:pPr>
        <w:tabs>
          <w:tab w:val="left" w:pos="567"/>
        </w:tabs>
        <w:spacing w:after="0" w:line="240" w:lineRule="auto"/>
        <w:jc w:val="both"/>
        <w:rPr>
          <w:rFonts w:ascii="Times New Roman" w:hAnsi="Times New Roman" w:cs="Times New Roman"/>
          <w:b/>
          <w:iCs/>
        </w:rPr>
      </w:pPr>
      <w:r w:rsidRPr="0035421E">
        <w:rPr>
          <w:rFonts w:ascii="Times New Roman" w:hAnsi="Times New Roman" w:cs="Times New Roman"/>
          <w:b/>
          <w:iCs/>
        </w:rPr>
        <w:t>Saran</w:t>
      </w:r>
    </w:p>
    <w:p w:rsidR="00F215F6" w:rsidRPr="0035421E" w:rsidRDefault="00F215F6" w:rsidP="0035421E">
      <w:pPr>
        <w:tabs>
          <w:tab w:val="left" w:pos="567"/>
        </w:tabs>
        <w:spacing w:after="0" w:line="240" w:lineRule="auto"/>
        <w:jc w:val="both"/>
        <w:rPr>
          <w:rFonts w:ascii="Times New Roman" w:hAnsi="Times New Roman" w:cs="Times New Roman"/>
          <w:b/>
          <w:iCs/>
        </w:rPr>
      </w:pPr>
    </w:p>
    <w:p w:rsidR="0035421E" w:rsidRPr="0035421E" w:rsidRDefault="0035421E" w:rsidP="0035421E">
      <w:pPr>
        <w:spacing w:after="0" w:line="240" w:lineRule="auto"/>
        <w:ind w:left="284" w:hanging="284"/>
        <w:jc w:val="both"/>
        <w:rPr>
          <w:rFonts w:ascii="Times New Roman" w:hAnsi="Times New Roman" w:cs="Times New Roman"/>
          <w:iCs/>
        </w:rPr>
      </w:pPr>
      <w:r w:rsidRPr="0035421E">
        <w:rPr>
          <w:rFonts w:ascii="Times New Roman" w:hAnsi="Times New Roman" w:cs="Times New Roman"/>
          <w:iCs/>
        </w:rPr>
        <w:t>1. Bagi Bank, agar kredit pemilikan properti tetap mengalami pertumbuhan sebaiknya bank minimal mempertahankan atau bahkan meningkatkan pelayanan terhadap nasabah dan menmberikan kecepatan dalam proses pelayanan pengurusan kredit.</w:t>
      </w:r>
    </w:p>
    <w:p w:rsidR="0035421E" w:rsidRPr="0035421E" w:rsidRDefault="0035421E" w:rsidP="0035421E">
      <w:pPr>
        <w:spacing w:after="0" w:line="240" w:lineRule="auto"/>
        <w:ind w:left="284" w:hanging="284"/>
        <w:jc w:val="both"/>
        <w:rPr>
          <w:rFonts w:ascii="Times New Roman" w:hAnsi="Times New Roman" w:cs="Times New Roman"/>
          <w:iCs/>
        </w:rPr>
      </w:pPr>
      <w:r w:rsidRPr="0035421E">
        <w:rPr>
          <w:rFonts w:ascii="Times New Roman" w:hAnsi="Times New Roman" w:cs="Times New Roman"/>
          <w:iCs/>
        </w:rPr>
        <w:t xml:space="preserve">2. Bagi peneliti selanjutnya, disarankan untuk untuk memperluas variabel yang digunakan karena terdapat faktor-faktor lain yaitu tingkat suku bunga, pendapatan perkapita, kondisi perekonomian yang mempengaruhi pertumbuhan kredit properti. Selain itu, jumlah sampel dan perusahaan yang diteliti sebaiknya diperbanyak agar memperoleh hasil yang lebih akurat dari penelitian ini. </w:t>
      </w:r>
    </w:p>
    <w:p w:rsidR="008E18C6" w:rsidRDefault="008E18C6" w:rsidP="008E18C6">
      <w:pPr>
        <w:spacing w:after="0" w:line="240" w:lineRule="auto"/>
        <w:rPr>
          <w:rFonts w:ascii="Times New Roman" w:hAnsi="Times New Roman" w:cs="Times New Roman"/>
        </w:rPr>
      </w:pPr>
    </w:p>
    <w:p w:rsidR="0035421E" w:rsidRDefault="0035421E" w:rsidP="008E18C6">
      <w:pPr>
        <w:spacing w:after="0" w:line="240" w:lineRule="auto"/>
        <w:rPr>
          <w:rFonts w:ascii="Times New Roman" w:hAnsi="Times New Roman" w:cs="Times New Roman"/>
        </w:rPr>
      </w:pPr>
    </w:p>
    <w:p w:rsidR="0035421E" w:rsidRDefault="0035421E" w:rsidP="008E18C6">
      <w:pPr>
        <w:spacing w:after="0" w:line="240" w:lineRule="auto"/>
        <w:rPr>
          <w:rFonts w:ascii="Times New Roman" w:hAnsi="Times New Roman" w:cs="Times New Roman"/>
        </w:rPr>
      </w:pPr>
    </w:p>
    <w:p w:rsidR="0035421E" w:rsidRDefault="0035421E" w:rsidP="008E18C6">
      <w:pPr>
        <w:spacing w:after="0" w:line="240" w:lineRule="auto"/>
        <w:rPr>
          <w:rFonts w:ascii="Times New Roman" w:hAnsi="Times New Roman" w:cs="Times New Roman"/>
          <w:b/>
        </w:rPr>
      </w:pPr>
      <w:r>
        <w:rPr>
          <w:rFonts w:ascii="Times New Roman" w:hAnsi="Times New Roman" w:cs="Times New Roman"/>
          <w:b/>
        </w:rPr>
        <w:t>DAFTAR PUSTAKA</w:t>
      </w:r>
    </w:p>
    <w:p w:rsidR="00F215F6" w:rsidRDefault="00F215F6" w:rsidP="008E18C6">
      <w:pPr>
        <w:spacing w:after="0" w:line="240" w:lineRule="auto"/>
        <w:rPr>
          <w:rFonts w:ascii="Times New Roman" w:hAnsi="Times New Roman" w:cs="Times New Roman"/>
          <w:b/>
        </w:rPr>
      </w:pPr>
    </w:p>
    <w:p w:rsidR="00F215F6" w:rsidRDefault="007F69E2" w:rsidP="00F215F6">
      <w:pPr>
        <w:autoSpaceDE w:val="0"/>
        <w:autoSpaceDN w:val="0"/>
        <w:adjustRightInd w:val="0"/>
        <w:spacing w:after="0" w:line="240" w:lineRule="auto"/>
        <w:ind w:left="709" w:hanging="709"/>
        <w:jc w:val="both"/>
        <w:rPr>
          <w:rFonts w:ascii="Times New Roman" w:hAnsi="Times New Roman" w:cs="Times New Roman"/>
        </w:rPr>
      </w:pPr>
      <w:hyperlink r:id="rId8" w:history="1">
        <w:r w:rsidR="00F215F6" w:rsidRPr="000D2FB1">
          <w:rPr>
            <w:rStyle w:val="Hyperlink"/>
            <w:rFonts w:ascii="Times New Roman" w:hAnsi="Times New Roman" w:cs="Times New Roman"/>
            <w:color w:val="auto"/>
          </w:rPr>
          <w:t>http://micro-bank.blogspot.com/2009/05/loan-to-value-ltv.html</w:t>
        </w:r>
      </w:hyperlink>
      <w:r w:rsidR="00F215F6" w:rsidRPr="000D2FB1">
        <w:t xml:space="preserve"> </w:t>
      </w:r>
      <w:r w:rsidR="00F215F6" w:rsidRPr="000D2FB1">
        <w:rPr>
          <w:rFonts w:ascii="Times New Roman" w:hAnsi="Times New Roman" w:cs="Times New Roman"/>
        </w:rPr>
        <w:t>diunduh tanggal 09 November 2014</w:t>
      </w:r>
      <w:r w:rsidR="00F215F6">
        <w:rPr>
          <w:rFonts w:ascii="Times New Roman" w:hAnsi="Times New Roman" w:cs="Times New Roman"/>
        </w:rPr>
        <w:t>.</w:t>
      </w:r>
    </w:p>
    <w:p w:rsidR="00F215F6" w:rsidRPr="00F215F6" w:rsidRDefault="007F69E2" w:rsidP="00F215F6">
      <w:pPr>
        <w:autoSpaceDE w:val="0"/>
        <w:autoSpaceDN w:val="0"/>
        <w:adjustRightInd w:val="0"/>
        <w:spacing w:after="0" w:line="240" w:lineRule="auto"/>
        <w:ind w:left="709" w:hanging="709"/>
        <w:jc w:val="both"/>
        <w:rPr>
          <w:rFonts w:ascii="Times New Roman" w:hAnsi="Times New Roman" w:cs="Times New Roman"/>
        </w:rPr>
      </w:pPr>
      <w:hyperlink r:id="rId9" w:history="1">
        <w:r w:rsidR="00F215F6" w:rsidRPr="00F215F6">
          <w:rPr>
            <w:rStyle w:val="Hyperlink"/>
            <w:rFonts w:ascii="Times New Roman" w:hAnsi="Times New Roman" w:cs="Times New Roman"/>
            <w:color w:val="auto"/>
          </w:rPr>
          <w:t>http://pengusaha-property.blogspot.com/2012/08/arti-dan-definisi-property.html, di</w:t>
        </w:r>
      </w:hyperlink>
      <w:r w:rsidR="00F215F6" w:rsidRPr="00F215F6">
        <w:rPr>
          <w:rFonts w:ascii="Times New Roman" w:hAnsi="Times New Roman" w:cs="Times New Roman"/>
        </w:rPr>
        <w:t>unduh 8 November 2014.</w:t>
      </w:r>
    </w:p>
    <w:p w:rsidR="00F215F6" w:rsidRDefault="007F69E2" w:rsidP="00F215F6">
      <w:pPr>
        <w:autoSpaceDE w:val="0"/>
        <w:autoSpaceDN w:val="0"/>
        <w:adjustRightInd w:val="0"/>
        <w:spacing w:after="0" w:line="240" w:lineRule="auto"/>
        <w:ind w:left="709" w:hanging="709"/>
        <w:jc w:val="both"/>
        <w:rPr>
          <w:rFonts w:ascii="Times New Roman" w:hAnsi="Times New Roman" w:cs="Times New Roman"/>
        </w:rPr>
      </w:pPr>
      <w:hyperlink r:id="rId10" w:history="1">
        <w:r w:rsidR="00F215F6" w:rsidRPr="00F215F6">
          <w:rPr>
            <w:rStyle w:val="Hyperlink"/>
            <w:rFonts w:ascii="Times New Roman" w:hAnsi="Times New Roman" w:cs="Times New Roman"/>
            <w:color w:val="auto"/>
          </w:rPr>
          <w:t>http://rizal-razib.blogspot.com/2012/12/penyebab-krisis-subprime-mortgage.html</w:t>
        </w:r>
      </w:hyperlink>
      <w:r w:rsidR="00F215F6" w:rsidRPr="00F215F6">
        <w:rPr>
          <w:rFonts w:ascii="Times New Roman" w:hAnsi="Times New Roman" w:cs="Times New Roman"/>
        </w:rPr>
        <w:t xml:space="preserve"> diunduh tanggal 25 November 2014.</w:t>
      </w:r>
    </w:p>
    <w:p w:rsidR="00A14D94" w:rsidRPr="00A14D94" w:rsidRDefault="007F69E2" w:rsidP="00A14D94">
      <w:pPr>
        <w:autoSpaceDE w:val="0"/>
        <w:autoSpaceDN w:val="0"/>
        <w:adjustRightInd w:val="0"/>
        <w:spacing w:after="0" w:line="240" w:lineRule="auto"/>
        <w:ind w:left="709" w:hanging="709"/>
        <w:jc w:val="both"/>
        <w:rPr>
          <w:rFonts w:ascii="Times New Roman" w:hAnsi="Times New Roman" w:cs="Times New Roman"/>
          <w:sz w:val="24"/>
          <w:szCs w:val="24"/>
        </w:rPr>
      </w:pPr>
      <w:hyperlink r:id="rId11" w:history="1">
        <w:r w:rsidR="00A14D94" w:rsidRPr="00A14D94">
          <w:rPr>
            <w:rStyle w:val="Hyperlink"/>
            <w:rFonts w:ascii="Times New Roman" w:hAnsi="Times New Roman" w:cs="Times New Roman"/>
            <w:color w:val="auto"/>
            <w:sz w:val="24"/>
            <w:szCs w:val="24"/>
          </w:rPr>
          <w:t>http://www.bankmandiri.co.id/indonesia/eriview-pdf/NBFP15055558.pdf</w:t>
        </w:r>
      </w:hyperlink>
      <w:r w:rsidR="00A14D94">
        <w:rPr>
          <w:rFonts w:ascii="Times New Roman" w:hAnsi="Times New Roman" w:cs="Times New Roman"/>
          <w:sz w:val="24"/>
          <w:szCs w:val="24"/>
        </w:rPr>
        <w:t xml:space="preserve"> </w:t>
      </w:r>
      <w:r w:rsidR="00A14D94" w:rsidRPr="00B411E3">
        <w:rPr>
          <w:rFonts w:ascii="Times New Roman" w:hAnsi="Times New Roman" w:cs="Times New Roman"/>
          <w:sz w:val="24"/>
          <w:szCs w:val="24"/>
        </w:rPr>
        <w:t>diunduh tanggal 25 Desember 2014</w:t>
      </w:r>
      <w:r w:rsidR="00A14D94" w:rsidRPr="00B411E3">
        <w:t>.</w:t>
      </w:r>
    </w:p>
    <w:p w:rsidR="00F215F6" w:rsidRDefault="00F215F6" w:rsidP="00F215F6">
      <w:pPr>
        <w:autoSpaceDE w:val="0"/>
        <w:autoSpaceDN w:val="0"/>
        <w:adjustRightInd w:val="0"/>
        <w:spacing w:after="0" w:line="240" w:lineRule="auto"/>
        <w:ind w:left="709" w:hanging="709"/>
        <w:jc w:val="both"/>
        <w:rPr>
          <w:rFonts w:ascii="Times New Roman" w:hAnsi="Times New Roman" w:cs="Times New Roman"/>
        </w:rPr>
      </w:pPr>
      <w:r w:rsidRPr="00F215F6">
        <w:rPr>
          <w:rFonts w:ascii="Times New Roman" w:hAnsi="Times New Roman" w:cs="Times New Roman"/>
        </w:rPr>
        <w:t xml:space="preserve">Kasmir. (2012), </w:t>
      </w:r>
      <w:r w:rsidRPr="00F215F6">
        <w:rPr>
          <w:rFonts w:ascii="Times New Roman" w:hAnsi="Times New Roman" w:cs="Times New Roman"/>
          <w:i/>
        </w:rPr>
        <w:t>Bank dan Lembaga Keuangan Lainnya</w:t>
      </w:r>
      <w:r w:rsidRPr="00F215F6">
        <w:rPr>
          <w:rFonts w:ascii="Times New Roman" w:hAnsi="Times New Roman" w:cs="Times New Roman"/>
        </w:rPr>
        <w:t>, Edisi Revisi, Jakarta: PT. Raja Grafindo Persada.</w:t>
      </w:r>
    </w:p>
    <w:p w:rsidR="00AE187F" w:rsidRDefault="00AE187F" w:rsidP="00AE187F">
      <w:pPr>
        <w:spacing w:after="0" w:line="240" w:lineRule="auto"/>
        <w:ind w:left="709" w:hanging="709"/>
        <w:jc w:val="both"/>
        <w:rPr>
          <w:rFonts w:ascii="Times New Roman" w:hAnsi="Times New Roman" w:cs="Times New Roman"/>
          <w:sz w:val="24"/>
          <w:szCs w:val="24"/>
        </w:rPr>
      </w:pPr>
      <w:r w:rsidRPr="00AE187F">
        <w:rPr>
          <w:rFonts w:ascii="Times New Roman" w:hAnsi="Times New Roman" w:cs="Times New Roman"/>
        </w:rPr>
        <w:t xml:space="preserve">Kristijadi, E. dan Laksana. (2012). Pengaruh Pertumbuhan DPK, Pertumbuhan Simpanan dari Bank Lain, Tingkat Suku Bunga SBI dan CAR Terhadap Pertumbuhan Kredit Pada Bank-Bank Pemerintah. </w:t>
      </w:r>
      <w:r w:rsidRPr="00AE187F">
        <w:rPr>
          <w:rFonts w:ascii="Times New Roman" w:hAnsi="Times New Roman" w:cs="Times New Roman"/>
          <w:i/>
        </w:rPr>
        <w:t>Kompak. Vol. 13. Vol. 1, hal. 249-264</w:t>
      </w:r>
      <w:r w:rsidRPr="004E3123">
        <w:rPr>
          <w:rFonts w:ascii="Times New Roman" w:hAnsi="Times New Roman" w:cs="Times New Roman"/>
          <w:sz w:val="24"/>
          <w:szCs w:val="24"/>
        </w:rPr>
        <w:t>.</w:t>
      </w:r>
    </w:p>
    <w:p w:rsidR="00F215F6" w:rsidRPr="00AE187F" w:rsidRDefault="00F215F6" w:rsidP="00AE187F">
      <w:pPr>
        <w:spacing w:after="0" w:line="240" w:lineRule="auto"/>
        <w:ind w:left="709" w:hanging="709"/>
        <w:jc w:val="both"/>
        <w:rPr>
          <w:rFonts w:ascii="Times New Roman" w:hAnsi="Times New Roman" w:cs="Times New Roman"/>
          <w:sz w:val="24"/>
          <w:szCs w:val="24"/>
        </w:rPr>
      </w:pPr>
      <w:r w:rsidRPr="00F215F6">
        <w:rPr>
          <w:rFonts w:ascii="Times New Roman" w:hAnsi="Times New Roman" w:cs="Times New Roman"/>
        </w:rPr>
        <w:t xml:space="preserve">Taswan, C. (2010), </w:t>
      </w:r>
      <w:r w:rsidRPr="00F215F6">
        <w:rPr>
          <w:rFonts w:ascii="Times New Roman" w:hAnsi="Times New Roman" w:cs="Times New Roman"/>
          <w:i/>
        </w:rPr>
        <w:t>Manajemen Perbankan</w:t>
      </w:r>
      <w:r w:rsidRPr="00F215F6">
        <w:rPr>
          <w:rFonts w:ascii="Times New Roman" w:hAnsi="Times New Roman" w:cs="Times New Roman"/>
        </w:rPr>
        <w:t>, Edisi II,  Yogyakarta: UPP STIM</w:t>
      </w:r>
      <w:r>
        <w:rPr>
          <w:rFonts w:ascii="Times New Roman" w:hAnsi="Times New Roman" w:cs="Times New Roman"/>
        </w:rPr>
        <w:t>.</w:t>
      </w:r>
    </w:p>
    <w:p w:rsidR="00AE187F" w:rsidRPr="00AE187F" w:rsidRDefault="00AE187F" w:rsidP="00AE187F">
      <w:pPr>
        <w:autoSpaceDE w:val="0"/>
        <w:autoSpaceDN w:val="0"/>
        <w:adjustRightInd w:val="0"/>
        <w:spacing w:after="0" w:line="240" w:lineRule="auto"/>
        <w:ind w:left="709" w:hanging="709"/>
        <w:jc w:val="both"/>
        <w:rPr>
          <w:rFonts w:ascii="Times New Roman" w:hAnsi="Times New Roman" w:cs="Times New Roman"/>
        </w:rPr>
      </w:pPr>
      <w:r w:rsidRPr="00AE187F">
        <w:rPr>
          <w:rFonts w:ascii="Times New Roman" w:hAnsi="Times New Roman" w:cs="Times New Roman"/>
        </w:rPr>
        <w:t xml:space="preserve">Surat Edaran Bank Indonesia No. 12/38/DPNP tanggal 31 Desember 2010 perihal Pedoman Penyusunan </w:t>
      </w:r>
      <w:r w:rsidRPr="00AE187F">
        <w:rPr>
          <w:rFonts w:ascii="Times New Roman" w:hAnsi="Times New Roman" w:cs="Times New Roman"/>
          <w:i/>
        </w:rPr>
        <w:t>Standard Operating Procedure</w:t>
      </w:r>
      <w:r w:rsidRPr="00AE187F">
        <w:rPr>
          <w:rFonts w:ascii="Times New Roman" w:hAnsi="Times New Roman" w:cs="Times New Roman"/>
        </w:rPr>
        <w:t xml:space="preserve"> Administrasi Kredit Pemilikan Rumah dalam Rangka Sekuritisasi.</w:t>
      </w:r>
    </w:p>
    <w:p w:rsidR="00AE187F" w:rsidRDefault="00AE187F" w:rsidP="00AE187F">
      <w:pPr>
        <w:autoSpaceDE w:val="0"/>
        <w:autoSpaceDN w:val="0"/>
        <w:adjustRightInd w:val="0"/>
        <w:spacing w:after="0" w:line="240" w:lineRule="auto"/>
        <w:ind w:left="709" w:hanging="709"/>
        <w:jc w:val="both"/>
        <w:rPr>
          <w:rFonts w:ascii="Times New Roman" w:hAnsi="Times New Roman" w:cs="Times New Roman"/>
        </w:rPr>
      </w:pPr>
      <w:r w:rsidRPr="00AE187F">
        <w:rPr>
          <w:rFonts w:ascii="Times New Roman" w:hAnsi="Times New Roman" w:cs="Times New Roman"/>
        </w:rPr>
        <w:lastRenderedPageBreak/>
        <w:t>Surat Edaran Bank Indonesia No. 13/6/DNPNP tanggal 18 Februari 2011 perihal Pedoman Perhitungan Aset Tertimbang Menurut Risiko untuk Risiko Kredit dengan Menggunakan Pendekatan Standar.</w:t>
      </w:r>
    </w:p>
    <w:p w:rsidR="00AE187F" w:rsidRPr="00AE187F" w:rsidRDefault="00F215F6" w:rsidP="00AE187F">
      <w:pPr>
        <w:autoSpaceDE w:val="0"/>
        <w:autoSpaceDN w:val="0"/>
        <w:adjustRightInd w:val="0"/>
        <w:spacing w:after="0" w:line="240" w:lineRule="auto"/>
        <w:ind w:left="709" w:hanging="709"/>
        <w:jc w:val="both"/>
        <w:rPr>
          <w:rFonts w:ascii="Times New Roman" w:hAnsi="Times New Roman" w:cs="Times New Roman"/>
        </w:rPr>
      </w:pPr>
      <w:r w:rsidRPr="00AE187F">
        <w:rPr>
          <w:rFonts w:ascii="Times New Roman" w:hAnsi="Times New Roman" w:cs="Times New Roman"/>
        </w:rPr>
        <w:t>Surat Edaran Bank Indonesia No.  14/10/DPNP tanggal 12 Maret 2012 perihal Penerapan Manajemen Risiko pada Bank yang Melakukan Pemberian Kredit Pemilikan Ruma</w:t>
      </w:r>
      <w:r w:rsidR="00AE187F">
        <w:rPr>
          <w:rFonts w:ascii="Times New Roman" w:hAnsi="Times New Roman" w:cs="Times New Roman"/>
        </w:rPr>
        <w:t>h dan Kredit Kendaraan Bermotor.</w:t>
      </w:r>
    </w:p>
    <w:p w:rsidR="00F215F6" w:rsidRPr="00AE187F" w:rsidRDefault="00F215F6" w:rsidP="00F215F6">
      <w:pPr>
        <w:autoSpaceDE w:val="0"/>
        <w:autoSpaceDN w:val="0"/>
        <w:adjustRightInd w:val="0"/>
        <w:spacing w:after="0" w:line="240" w:lineRule="auto"/>
        <w:ind w:left="709" w:hanging="709"/>
        <w:jc w:val="both"/>
        <w:rPr>
          <w:rFonts w:ascii="Times New Roman" w:hAnsi="Times New Roman" w:cs="Times New Roman"/>
        </w:rPr>
      </w:pPr>
      <w:r w:rsidRPr="00AE187F">
        <w:rPr>
          <w:rFonts w:ascii="Times New Roman" w:hAnsi="Times New Roman" w:cs="Times New Roman"/>
        </w:rPr>
        <w:t>Surat Edaran Bank Indonesia No. 15/40/DKMP 24 September 2013 Penerapan Manajemen Risiko pada Bank yang Melakukan Pemberian Kredit atau Pembiayaan Pemilikan Properti, Kredit atau Pembiayaan Konsumsi Beragun Properti, dan Kredit atau Pembiayaan Kendaraan Bermotor.</w:t>
      </w:r>
    </w:p>
    <w:p w:rsidR="00F215F6" w:rsidRPr="00AE187F" w:rsidRDefault="00F215F6" w:rsidP="00F215F6">
      <w:pPr>
        <w:autoSpaceDE w:val="0"/>
        <w:autoSpaceDN w:val="0"/>
        <w:adjustRightInd w:val="0"/>
        <w:spacing w:after="0" w:line="240" w:lineRule="auto"/>
        <w:ind w:left="709" w:hanging="709"/>
        <w:jc w:val="both"/>
        <w:rPr>
          <w:rFonts w:ascii="Times New Roman" w:hAnsi="Times New Roman" w:cs="Times New Roman"/>
        </w:rPr>
      </w:pPr>
      <w:r w:rsidRPr="00AE187F">
        <w:rPr>
          <w:rFonts w:ascii="Times New Roman" w:hAnsi="Times New Roman" w:cs="Times New Roman"/>
        </w:rPr>
        <w:t>Undang-Undang Nomor 10 Tahun 1998 Tentang Perbankan atas revisi Undang-Undang Nomor 7 tahun 1992.</w:t>
      </w:r>
    </w:p>
    <w:p w:rsidR="00F215F6" w:rsidRPr="00AE187F" w:rsidRDefault="00F215F6" w:rsidP="00F215F6">
      <w:pPr>
        <w:autoSpaceDE w:val="0"/>
        <w:autoSpaceDN w:val="0"/>
        <w:adjustRightInd w:val="0"/>
        <w:spacing w:after="0" w:line="240" w:lineRule="auto"/>
        <w:jc w:val="both"/>
        <w:rPr>
          <w:rFonts w:ascii="Times New Roman" w:hAnsi="Times New Roman" w:cs="Times New Roman"/>
        </w:rPr>
      </w:pPr>
    </w:p>
    <w:p w:rsidR="00F215F6" w:rsidRPr="00F215F6" w:rsidRDefault="00F215F6" w:rsidP="00F215F6">
      <w:pPr>
        <w:autoSpaceDE w:val="0"/>
        <w:autoSpaceDN w:val="0"/>
        <w:adjustRightInd w:val="0"/>
        <w:spacing w:after="0" w:line="240" w:lineRule="auto"/>
        <w:ind w:left="709" w:hanging="709"/>
        <w:jc w:val="both"/>
        <w:rPr>
          <w:rFonts w:ascii="Times New Roman" w:hAnsi="Times New Roman" w:cs="Times New Roman"/>
        </w:rPr>
      </w:pPr>
    </w:p>
    <w:p w:rsidR="00F215F6" w:rsidRPr="00F215F6" w:rsidRDefault="00F215F6" w:rsidP="00F215F6">
      <w:pPr>
        <w:autoSpaceDE w:val="0"/>
        <w:autoSpaceDN w:val="0"/>
        <w:adjustRightInd w:val="0"/>
        <w:spacing w:after="0" w:line="240" w:lineRule="auto"/>
        <w:ind w:left="709" w:hanging="709"/>
        <w:jc w:val="both"/>
        <w:rPr>
          <w:rFonts w:ascii="Times New Roman" w:hAnsi="Times New Roman" w:cs="Times New Roman"/>
        </w:rPr>
      </w:pPr>
    </w:p>
    <w:p w:rsidR="00F215F6" w:rsidRPr="0035421E" w:rsidRDefault="00F215F6" w:rsidP="008E18C6">
      <w:pPr>
        <w:spacing w:after="0" w:line="240" w:lineRule="auto"/>
        <w:rPr>
          <w:rFonts w:ascii="Times New Roman" w:hAnsi="Times New Roman" w:cs="Times New Roman"/>
          <w:b/>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p w:rsidR="008E18C6" w:rsidRPr="000D2FB1" w:rsidRDefault="008E18C6" w:rsidP="008E18C6">
      <w:pPr>
        <w:spacing w:after="0" w:line="240" w:lineRule="auto"/>
        <w:rPr>
          <w:rFonts w:ascii="Times New Roman" w:hAnsi="Times New Roman" w:cs="Times New Roman"/>
        </w:rPr>
      </w:pPr>
    </w:p>
    <w:sectPr w:rsidR="008E18C6" w:rsidRPr="000D2FB1" w:rsidSect="008E18C6">
      <w:pgSz w:w="11906" w:h="16838"/>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0993"/>
    <w:multiLevelType w:val="hybridMultilevel"/>
    <w:tmpl w:val="33328484"/>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35A0AD4"/>
    <w:multiLevelType w:val="multilevel"/>
    <w:tmpl w:val="B09266D0"/>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
    <w:nsid w:val="3D327793"/>
    <w:multiLevelType w:val="hybridMultilevel"/>
    <w:tmpl w:val="F73EA5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0B51C4D"/>
    <w:multiLevelType w:val="hybridMultilevel"/>
    <w:tmpl w:val="718EF7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0C72D8A"/>
    <w:multiLevelType w:val="hybridMultilevel"/>
    <w:tmpl w:val="8C6215D0"/>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54D24760"/>
    <w:multiLevelType w:val="hybridMultilevel"/>
    <w:tmpl w:val="8C96E9BE"/>
    <w:lvl w:ilvl="0" w:tplc="A4C00376">
      <w:start w:val="1"/>
      <w:numFmt w:val="decimal"/>
      <w:lvlText w:val="%1."/>
      <w:lvlJc w:val="left"/>
      <w:pPr>
        <w:ind w:left="36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D704B1C"/>
    <w:multiLevelType w:val="hybridMultilevel"/>
    <w:tmpl w:val="1804D6F4"/>
    <w:lvl w:ilvl="0" w:tplc="9C725B0A">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
    <w:nsid w:val="5DC87AF2"/>
    <w:multiLevelType w:val="hybridMultilevel"/>
    <w:tmpl w:val="B4AA73A8"/>
    <w:lvl w:ilvl="0" w:tplc="57ACE8CE">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648D3FCE"/>
    <w:multiLevelType w:val="hybridMultilevel"/>
    <w:tmpl w:val="8ED04FBC"/>
    <w:lvl w:ilvl="0" w:tplc="44B64F28">
      <w:start w:val="1"/>
      <w:numFmt w:val="decimal"/>
      <w:lvlText w:val="%1)"/>
      <w:lvlJc w:val="left"/>
      <w:pPr>
        <w:ind w:left="1080" w:hanging="360"/>
      </w:pPr>
      <w:rPr>
        <w:rFonts w:ascii="Times New Roman" w:eastAsiaTheme="minorHAnsi" w:hAnsi="Times New Roman" w:cs="Times New Roman"/>
      </w:rPr>
    </w:lvl>
    <w:lvl w:ilvl="1" w:tplc="9744900C">
      <w:start w:val="1"/>
      <w:numFmt w:val="decimal"/>
      <w:lvlText w:val="%2."/>
      <w:lvlJc w:val="left"/>
      <w:pPr>
        <w:ind w:left="1800" w:hanging="360"/>
      </w:pPr>
      <w:rPr>
        <w:rFonts w:ascii="Times New Roman" w:eastAsiaTheme="minorHAnsi" w:hAnsi="Times New Roman" w:cs="Times New Roman"/>
      </w:rPr>
    </w:lvl>
    <w:lvl w:ilvl="2" w:tplc="8AC05F50">
      <w:start w:val="1"/>
      <w:numFmt w:val="lowerLetter"/>
      <w:lvlText w:val="%3."/>
      <w:lvlJc w:val="left"/>
      <w:pPr>
        <w:ind w:left="2700" w:hanging="360"/>
      </w:pPr>
      <w:rPr>
        <w:rFonts w:ascii="Times New Roman" w:eastAsiaTheme="minorHAnsi" w:hAnsi="Times New Roman" w:cs="Times New Roman"/>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68D21DDB"/>
    <w:multiLevelType w:val="hybridMultilevel"/>
    <w:tmpl w:val="FA448B80"/>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69CB6158"/>
    <w:multiLevelType w:val="hybridMultilevel"/>
    <w:tmpl w:val="D09204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51E5C68"/>
    <w:multiLevelType w:val="hybridMultilevel"/>
    <w:tmpl w:val="490CBB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7F9A7CC3"/>
    <w:multiLevelType w:val="multilevel"/>
    <w:tmpl w:val="5B5418EE"/>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2"/>
  </w:num>
  <w:num w:numId="2">
    <w:abstractNumId w:val="8"/>
  </w:num>
  <w:num w:numId="3">
    <w:abstractNumId w:val="0"/>
  </w:num>
  <w:num w:numId="4">
    <w:abstractNumId w:val="4"/>
  </w:num>
  <w:num w:numId="5">
    <w:abstractNumId w:val="11"/>
  </w:num>
  <w:num w:numId="6">
    <w:abstractNumId w:val="5"/>
  </w:num>
  <w:num w:numId="7">
    <w:abstractNumId w:val="9"/>
  </w:num>
  <w:num w:numId="8">
    <w:abstractNumId w:val="7"/>
  </w:num>
  <w:num w:numId="9">
    <w:abstractNumId w:val="10"/>
  </w:num>
  <w:num w:numId="10">
    <w:abstractNumId w:val="12"/>
  </w:num>
  <w:num w:numId="11">
    <w:abstractNumId w:val="1"/>
  </w:num>
  <w:num w:numId="12">
    <w:abstractNumId w:val="3"/>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E18C6"/>
    <w:rsid w:val="000D2FB1"/>
    <w:rsid w:val="00175CAE"/>
    <w:rsid w:val="002E392A"/>
    <w:rsid w:val="0035421E"/>
    <w:rsid w:val="00383D81"/>
    <w:rsid w:val="005D436D"/>
    <w:rsid w:val="00646F1E"/>
    <w:rsid w:val="00690744"/>
    <w:rsid w:val="007F69E2"/>
    <w:rsid w:val="008E18C6"/>
    <w:rsid w:val="00962D58"/>
    <w:rsid w:val="009E7654"/>
    <w:rsid w:val="00A14D94"/>
    <w:rsid w:val="00AE187F"/>
    <w:rsid w:val="00BB704E"/>
    <w:rsid w:val="00BF34CC"/>
    <w:rsid w:val="00CA79F7"/>
    <w:rsid w:val="00D233D3"/>
    <w:rsid w:val="00E43833"/>
    <w:rsid w:val="00F215F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8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E18C6"/>
  </w:style>
  <w:style w:type="paragraph" w:styleId="ListParagraph">
    <w:name w:val="List Paragraph"/>
    <w:aliases w:val="skripsi"/>
    <w:basedOn w:val="Normal"/>
    <w:link w:val="ListParagraphChar"/>
    <w:uiPriority w:val="34"/>
    <w:qFormat/>
    <w:rsid w:val="00E43833"/>
    <w:pPr>
      <w:ind w:left="720"/>
      <w:contextualSpacing/>
    </w:pPr>
  </w:style>
  <w:style w:type="character" w:customStyle="1" w:styleId="ListParagraphChar">
    <w:name w:val="List Paragraph Char"/>
    <w:aliases w:val="skripsi Char"/>
    <w:basedOn w:val="DefaultParagraphFont"/>
    <w:link w:val="ListParagraph"/>
    <w:uiPriority w:val="34"/>
    <w:locked/>
    <w:rsid w:val="00E43833"/>
  </w:style>
  <w:style w:type="paragraph" w:styleId="BalloonText">
    <w:name w:val="Balloon Text"/>
    <w:basedOn w:val="Normal"/>
    <w:link w:val="BalloonTextChar"/>
    <w:uiPriority w:val="99"/>
    <w:semiHidden/>
    <w:unhideWhenUsed/>
    <w:rsid w:val="00E438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3833"/>
    <w:rPr>
      <w:rFonts w:ascii="Tahoma" w:hAnsi="Tahoma" w:cs="Tahoma"/>
      <w:sz w:val="16"/>
      <w:szCs w:val="16"/>
    </w:rPr>
  </w:style>
  <w:style w:type="character" w:styleId="Hyperlink">
    <w:name w:val="Hyperlink"/>
    <w:basedOn w:val="DefaultParagraphFont"/>
    <w:uiPriority w:val="99"/>
    <w:unhideWhenUsed/>
    <w:rsid w:val="00E43833"/>
    <w:rPr>
      <w:color w:val="0000FF" w:themeColor="hyperlink"/>
      <w:u w:val="single"/>
    </w:rPr>
  </w:style>
  <w:style w:type="character" w:styleId="Strong">
    <w:name w:val="Strong"/>
    <w:basedOn w:val="DefaultParagraphFont"/>
    <w:uiPriority w:val="22"/>
    <w:qFormat/>
    <w:rsid w:val="00E43833"/>
    <w:rPr>
      <w:b/>
      <w:bCs/>
    </w:rPr>
  </w:style>
  <w:style w:type="table" w:styleId="TableGrid">
    <w:name w:val="Table Grid"/>
    <w:basedOn w:val="TableNormal"/>
    <w:uiPriority w:val="59"/>
    <w:rsid w:val="000D2F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icro-bank.blogspot.com/2009/05/loan-to-value-ltv.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ankmandiri.co.id/indonesia/eriview-pdf/NBFP15055558.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cro-bank.blogspot.com/2009/05/loan-to-value-ltv.html" TargetMode="External"/><Relationship Id="rId11" Type="http://schemas.openxmlformats.org/officeDocument/2006/relationships/hyperlink" Target="http://www.bankmandiri.co.id/indonesia/eriview-pdf/NBFP15055558.pdf" TargetMode="External"/><Relationship Id="rId5" Type="http://schemas.openxmlformats.org/officeDocument/2006/relationships/hyperlink" Target="http://pengusaha-property.blogspot.com/2012/08/arti-dan-definisi-property.html" TargetMode="External"/><Relationship Id="rId10" Type="http://schemas.openxmlformats.org/officeDocument/2006/relationships/hyperlink" Target="http://rizal-razib.blogspot.com/2012/12/penyebab-krisis-subprime-mortgage.html" TargetMode="External"/><Relationship Id="rId4" Type="http://schemas.openxmlformats.org/officeDocument/2006/relationships/webSettings" Target="webSettings.xml"/><Relationship Id="rId9" Type="http://schemas.openxmlformats.org/officeDocument/2006/relationships/hyperlink" Target="http://pengusaha-property.blogspot.com/2012/08/arti-dan-definisi-property.html,%20d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12</Pages>
  <Words>5342</Words>
  <Characters>30450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dcterms:created xsi:type="dcterms:W3CDTF">2015-02-15T13:09:00Z</dcterms:created>
  <dcterms:modified xsi:type="dcterms:W3CDTF">2015-02-17T02:01:00Z</dcterms:modified>
</cp:coreProperties>
</file>